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07D" w:rsidRDefault="00A9207D" w:rsidP="00A9207D">
      <w:pPr>
        <w:rPr>
          <w:sz w:val="24"/>
          <w:lang w:val="hr-HR"/>
        </w:rPr>
      </w:pPr>
      <w:r>
        <w:rPr>
          <w:sz w:val="24"/>
          <w:lang w:val="hr-HR"/>
        </w:rPr>
        <w:t>VULJANKOVIĆ d.o.o. u stečaju, OIB 08473695090</w:t>
      </w:r>
    </w:p>
    <w:p w:rsidR="00A9207D" w:rsidRDefault="00A9207D" w:rsidP="00A9207D">
      <w:pPr>
        <w:rPr>
          <w:sz w:val="24"/>
          <w:lang w:val="hr-HR"/>
        </w:rPr>
      </w:pPr>
      <w:r>
        <w:rPr>
          <w:sz w:val="24"/>
          <w:lang w:val="hr-HR"/>
        </w:rPr>
        <w:t>Vrbovec, Cerje 20</w:t>
      </w:r>
    </w:p>
    <w:p w:rsidR="00A9207D" w:rsidRDefault="00A9207D" w:rsidP="00A9207D">
      <w:pPr>
        <w:rPr>
          <w:sz w:val="24"/>
          <w:lang w:val="hr-HR"/>
        </w:rPr>
      </w:pPr>
      <w:r>
        <w:rPr>
          <w:sz w:val="24"/>
          <w:lang w:val="hr-HR"/>
        </w:rPr>
        <w:t xml:space="preserve">                                                     </w:t>
      </w:r>
    </w:p>
    <w:p w:rsidR="00A9207D" w:rsidRDefault="00A9207D" w:rsidP="00A9207D">
      <w:pPr>
        <w:rPr>
          <w:sz w:val="24"/>
          <w:lang w:val="hr-HR"/>
        </w:rPr>
      </w:pPr>
      <w:r>
        <w:rPr>
          <w:sz w:val="24"/>
          <w:lang w:val="hr-HR"/>
        </w:rPr>
        <w:t xml:space="preserve">                                                                                                 </w:t>
      </w:r>
      <w:bookmarkStart w:id="0" w:name="_GoBack"/>
      <w:bookmarkEnd w:id="0"/>
    </w:p>
    <w:p w:rsidR="00A9207D" w:rsidRDefault="00A9207D" w:rsidP="00A9207D">
      <w:pPr>
        <w:rPr>
          <w:sz w:val="24"/>
          <w:lang w:val="hr-HR"/>
        </w:rPr>
      </w:pPr>
      <w:r>
        <w:rPr>
          <w:sz w:val="24"/>
          <w:lang w:val="hr-HR"/>
        </w:rPr>
        <w:t xml:space="preserve">                                                  OBRAZAC 22</w:t>
      </w:r>
    </w:p>
    <w:p w:rsidR="00A9207D" w:rsidRDefault="00A9207D" w:rsidP="00A9207D">
      <w:pPr>
        <w:rPr>
          <w:sz w:val="24"/>
          <w:lang w:val="hr-HR"/>
        </w:rPr>
      </w:pPr>
    </w:p>
    <w:p w:rsidR="00A9207D" w:rsidRDefault="00A9207D" w:rsidP="00A9207D">
      <w:pPr>
        <w:rPr>
          <w:sz w:val="24"/>
          <w:lang w:val="hr-HR"/>
        </w:rPr>
      </w:pPr>
    </w:p>
    <w:p w:rsidR="00A9207D" w:rsidRDefault="00A9207D" w:rsidP="00A9207D">
      <w:pPr>
        <w:rPr>
          <w:sz w:val="24"/>
          <w:szCs w:val="24"/>
          <w:lang w:val="hr-HR"/>
        </w:rPr>
      </w:pPr>
      <w:r>
        <w:rPr>
          <w:sz w:val="24"/>
          <w:szCs w:val="24"/>
          <w:lang w:val="hr-HR"/>
        </w:rPr>
        <w:t xml:space="preserve">                                  ZAVRŠNI RAČUN STEČAJNOG UPRAVITELJA</w:t>
      </w:r>
    </w:p>
    <w:p w:rsidR="00A9207D" w:rsidRDefault="00A9207D" w:rsidP="00A9207D">
      <w:pPr>
        <w:rPr>
          <w:lang w:val="hr-HR"/>
        </w:rPr>
      </w:pPr>
    </w:p>
    <w:p w:rsidR="00A9207D" w:rsidRDefault="00A9207D" w:rsidP="00A9207D">
      <w:pPr>
        <w:rPr>
          <w:sz w:val="24"/>
          <w:lang w:val="hr-HR"/>
        </w:rPr>
      </w:pPr>
    </w:p>
    <w:p w:rsidR="00A9207D" w:rsidRDefault="00A9207D" w:rsidP="00A9207D">
      <w:pPr>
        <w:pStyle w:val="Naslov2"/>
        <w:numPr>
          <w:ilvl w:val="0"/>
          <w:numId w:val="0"/>
        </w:numPr>
        <w:tabs>
          <w:tab w:val="left" w:pos="708"/>
        </w:tabs>
      </w:pPr>
      <w:r>
        <w:t>I     RAČUN PRIHODA I RASHODA</w:t>
      </w:r>
    </w:p>
    <w:p w:rsidR="00A9207D" w:rsidRDefault="00A9207D" w:rsidP="00A9207D">
      <w:pPr>
        <w:rPr>
          <w:lang w:val="hr-HR"/>
        </w:rPr>
      </w:pPr>
    </w:p>
    <w:p w:rsidR="00A9207D" w:rsidRDefault="00A9207D" w:rsidP="00A9207D">
      <w:pPr>
        <w:rPr>
          <w:lang w:val="hr-HR"/>
        </w:rPr>
      </w:pPr>
    </w:p>
    <w:p w:rsidR="00A9207D" w:rsidRDefault="00A9207D" w:rsidP="00A9207D">
      <w:pPr>
        <w:ind w:left="567"/>
        <w:rPr>
          <w:sz w:val="24"/>
          <w:lang w:val="hr-HR"/>
        </w:rPr>
      </w:pPr>
      <w:r>
        <w:rPr>
          <w:sz w:val="24"/>
          <w:lang w:val="hr-HR"/>
        </w:rPr>
        <w:t xml:space="preserve">A/ OSTVARENI PRILIVI NOVČANIH SREDSTAVA </w:t>
      </w:r>
    </w:p>
    <w:p w:rsidR="00A9207D" w:rsidRDefault="00A9207D" w:rsidP="00A9207D">
      <w:pPr>
        <w:ind w:left="567"/>
        <w:rPr>
          <w:sz w:val="24"/>
          <w:lang w:val="hr-HR"/>
        </w:rPr>
      </w:pPr>
    </w:p>
    <w:p w:rsidR="00A9207D" w:rsidRDefault="00A9207D" w:rsidP="00A9207D">
      <w:pPr>
        <w:ind w:left="567"/>
        <w:rPr>
          <w:sz w:val="24"/>
          <w:lang w:val="hr-HR"/>
        </w:rPr>
      </w:pPr>
    </w:p>
    <w:tbl>
      <w:tblPr>
        <w:tblStyle w:val="Reetkatablice"/>
        <w:tblW w:w="0" w:type="auto"/>
        <w:tblInd w:w="675" w:type="dxa"/>
        <w:tblLayout w:type="fixed"/>
        <w:tblLook w:val="04A0" w:firstRow="1" w:lastRow="0" w:firstColumn="1" w:lastColumn="0" w:noHBand="0" w:noVBand="1"/>
      </w:tblPr>
      <w:tblGrid>
        <w:gridCol w:w="5562"/>
        <w:gridCol w:w="1610"/>
      </w:tblGrid>
      <w:tr w:rsidR="00A9207D" w:rsidTr="00A9207D">
        <w:tc>
          <w:tcPr>
            <w:tcW w:w="5562" w:type="dxa"/>
            <w:tcBorders>
              <w:top w:val="single" w:sz="4" w:space="0" w:color="auto"/>
              <w:left w:val="single" w:sz="4" w:space="0" w:color="auto"/>
              <w:bottom w:val="single" w:sz="4" w:space="0" w:color="auto"/>
              <w:right w:val="single" w:sz="4" w:space="0" w:color="auto"/>
            </w:tcBorders>
            <w:hideMark/>
          </w:tcPr>
          <w:p w:rsidR="00A9207D" w:rsidRDefault="00A9207D">
            <w:pPr>
              <w:rPr>
                <w:sz w:val="24"/>
                <w:lang w:val="hr-HR" w:eastAsia="en-US"/>
              </w:rPr>
            </w:pPr>
            <w:r>
              <w:rPr>
                <w:sz w:val="24"/>
                <w:lang w:val="hr-HR" w:eastAsia="en-US"/>
              </w:rPr>
              <w:t xml:space="preserve">      Vrsta primitka</w:t>
            </w:r>
          </w:p>
        </w:tc>
        <w:tc>
          <w:tcPr>
            <w:tcW w:w="1610" w:type="dxa"/>
            <w:tcBorders>
              <w:top w:val="single" w:sz="4" w:space="0" w:color="auto"/>
              <w:left w:val="single" w:sz="4" w:space="0" w:color="auto"/>
              <w:bottom w:val="single" w:sz="4" w:space="0" w:color="auto"/>
              <w:right w:val="single" w:sz="4" w:space="0" w:color="auto"/>
            </w:tcBorders>
            <w:hideMark/>
          </w:tcPr>
          <w:p w:rsidR="00A9207D" w:rsidRDefault="00A9207D">
            <w:pPr>
              <w:jc w:val="center"/>
              <w:rPr>
                <w:sz w:val="24"/>
                <w:lang w:val="hr-HR" w:eastAsia="en-US"/>
              </w:rPr>
            </w:pPr>
            <w:r>
              <w:rPr>
                <w:sz w:val="24"/>
                <w:lang w:val="hr-HR" w:eastAsia="en-US"/>
              </w:rPr>
              <w:t xml:space="preserve">kn          </w:t>
            </w:r>
          </w:p>
        </w:tc>
      </w:tr>
      <w:tr w:rsidR="00A9207D" w:rsidTr="00A9207D">
        <w:tc>
          <w:tcPr>
            <w:tcW w:w="5562" w:type="dxa"/>
            <w:tcBorders>
              <w:top w:val="single" w:sz="4" w:space="0" w:color="auto"/>
              <w:left w:val="single" w:sz="4" w:space="0" w:color="auto"/>
              <w:bottom w:val="single" w:sz="4" w:space="0" w:color="auto"/>
              <w:right w:val="single" w:sz="4" w:space="0" w:color="auto"/>
            </w:tcBorders>
            <w:hideMark/>
          </w:tcPr>
          <w:p w:rsidR="00A9207D" w:rsidRDefault="00A9207D">
            <w:pPr>
              <w:rPr>
                <w:sz w:val="24"/>
                <w:lang w:val="hr-HR" w:eastAsia="en-US"/>
              </w:rPr>
            </w:pPr>
            <w:r>
              <w:rPr>
                <w:sz w:val="24"/>
                <w:lang w:val="hr-HR" w:eastAsia="en-US"/>
              </w:rPr>
              <w:t>- početno stanje</w:t>
            </w:r>
          </w:p>
        </w:tc>
        <w:tc>
          <w:tcPr>
            <w:tcW w:w="1610" w:type="dxa"/>
            <w:tcBorders>
              <w:top w:val="single" w:sz="4" w:space="0" w:color="auto"/>
              <w:left w:val="single" w:sz="4" w:space="0" w:color="auto"/>
              <w:bottom w:val="single" w:sz="4" w:space="0" w:color="auto"/>
              <w:right w:val="single" w:sz="4" w:space="0" w:color="auto"/>
            </w:tcBorders>
            <w:hideMark/>
          </w:tcPr>
          <w:p w:rsidR="00A9207D" w:rsidRDefault="00A9207D">
            <w:pPr>
              <w:jc w:val="center"/>
              <w:rPr>
                <w:sz w:val="24"/>
                <w:lang w:val="hr-HR" w:eastAsia="en-US"/>
              </w:rPr>
            </w:pPr>
            <w:r>
              <w:rPr>
                <w:sz w:val="24"/>
                <w:lang w:val="hr-HR" w:eastAsia="en-US"/>
              </w:rPr>
              <w:t xml:space="preserve">                0,00</w:t>
            </w:r>
          </w:p>
        </w:tc>
      </w:tr>
      <w:tr w:rsidR="00A9207D" w:rsidTr="00A9207D">
        <w:tc>
          <w:tcPr>
            <w:tcW w:w="5562" w:type="dxa"/>
            <w:tcBorders>
              <w:top w:val="single" w:sz="4" w:space="0" w:color="auto"/>
              <w:left w:val="single" w:sz="4" w:space="0" w:color="auto"/>
              <w:bottom w:val="single" w:sz="4" w:space="0" w:color="auto"/>
              <w:right w:val="single" w:sz="4" w:space="0" w:color="auto"/>
            </w:tcBorders>
            <w:hideMark/>
          </w:tcPr>
          <w:p w:rsidR="00A9207D" w:rsidRDefault="00A9207D">
            <w:pPr>
              <w:rPr>
                <w:sz w:val="24"/>
                <w:lang w:val="hr-HR" w:eastAsia="en-US"/>
              </w:rPr>
            </w:pPr>
            <w:r>
              <w:rPr>
                <w:sz w:val="24"/>
                <w:lang w:val="hr-HR" w:eastAsia="en-US"/>
              </w:rPr>
              <w:t>- prilivi od prodaje pokretnina</w:t>
            </w:r>
          </w:p>
        </w:tc>
        <w:tc>
          <w:tcPr>
            <w:tcW w:w="1610" w:type="dxa"/>
            <w:tcBorders>
              <w:top w:val="single" w:sz="4" w:space="0" w:color="auto"/>
              <w:left w:val="single" w:sz="4" w:space="0" w:color="auto"/>
              <w:bottom w:val="single" w:sz="4" w:space="0" w:color="auto"/>
              <w:right w:val="single" w:sz="4" w:space="0" w:color="auto"/>
            </w:tcBorders>
            <w:hideMark/>
          </w:tcPr>
          <w:p w:rsidR="00A9207D" w:rsidRDefault="00A9207D">
            <w:pPr>
              <w:jc w:val="right"/>
              <w:rPr>
                <w:sz w:val="24"/>
                <w:lang w:val="hr-HR" w:eastAsia="en-US"/>
              </w:rPr>
            </w:pPr>
            <w:r>
              <w:rPr>
                <w:sz w:val="24"/>
                <w:lang w:val="hr-HR" w:eastAsia="en-US"/>
              </w:rPr>
              <w:t>299.145,94</w:t>
            </w:r>
          </w:p>
        </w:tc>
      </w:tr>
      <w:tr w:rsidR="00A9207D" w:rsidTr="00A9207D">
        <w:tc>
          <w:tcPr>
            <w:tcW w:w="5562" w:type="dxa"/>
            <w:tcBorders>
              <w:top w:val="single" w:sz="4" w:space="0" w:color="auto"/>
              <w:left w:val="single" w:sz="4" w:space="0" w:color="auto"/>
              <w:bottom w:val="single" w:sz="4" w:space="0" w:color="auto"/>
              <w:right w:val="single" w:sz="4" w:space="0" w:color="auto"/>
            </w:tcBorders>
            <w:hideMark/>
          </w:tcPr>
          <w:p w:rsidR="00A9207D" w:rsidRDefault="00A9207D">
            <w:pPr>
              <w:rPr>
                <w:sz w:val="24"/>
                <w:lang w:val="hr-HR" w:eastAsia="en-US"/>
              </w:rPr>
            </w:pPr>
            <w:r>
              <w:rPr>
                <w:sz w:val="24"/>
                <w:lang w:val="hr-HR" w:eastAsia="en-US"/>
              </w:rPr>
              <w:t>- prilivi od prodaje dionica</w:t>
            </w:r>
          </w:p>
        </w:tc>
        <w:tc>
          <w:tcPr>
            <w:tcW w:w="1610" w:type="dxa"/>
            <w:tcBorders>
              <w:top w:val="single" w:sz="4" w:space="0" w:color="auto"/>
              <w:left w:val="single" w:sz="4" w:space="0" w:color="auto"/>
              <w:bottom w:val="single" w:sz="4" w:space="0" w:color="auto"/>
              <w:right w:val="single" w:sz="4" w:space="0" w:color="auto"/>
            </w:tcBorders>
            <w:hideMark/>
          </w:tcPr>
          <w:p w:rsidR="00A9207D" w:rsidRDefault="00A9207D">
            <w:pPr>
              <w:jc w:val="right"/>
              <w:rPr>
                <w:sz w:val="24"/>
                <w:lang w:val="hr-HR" w:eastAsia="en-US"/>
              </w:rPr>
            </w:pPr>
            <w:r>
              <w:rPr>
                <w:sz w:val="24"/>
                <w:lang w:val="hr-HR" w:eastAsia="en-US"/>
              </w:rPr>
              <w:t>44.633,10</w:t>
            </w:r>
          </w:p>
        </w:tc>
      </w:tr>
      <w:tr w:rsidR="00A9207D" w:rsidTr="00A9207D">
        <w:tc>
          <w:tcPr>
            <w:tcW w:w="5562" w:type="dxa"/>
            <w:tcBorders>
              <w:top w:val="single" w:sz="4" w:space="0" w:color="auto"/>
              <w:left w:val="single" w:sz="4" w:space="0" w:color="auto"/>
              <w:bottom w:val="single" w:sz="4" w:space="0" w:color="auto"/>
              <w:right w:val="single" w:sz="4" w:space="0" w:color="auto"/>
            </w:tcBorders>
            <w:hideMark/>
          </w:tcPr>
          <w:p w:rsidR="00A9207D" w:rsidRDefault="00A9207D">
            <w:pPr>
              <w:rPr>
                <w:sz w:val="24"/>
                <w:lang w:val="hr-HR" w:eastAsia="en-US"/>
              </w:rPr>
            </w:pPr>
            <w:r>
              <w:rPr>
                <w:sz w:val="24"/>
                <w:lang w:val="hr-HR" w:eastAsia="en-US"/>
              </w:rPr>
              <w:t>- prilivi od naplate od kupaca, zakupa i sl.</w:t>
            </w:r>
          </w:p>
        </w:tc>
        <w:tc>
          <w:tcPr>
            <w:tcW w:w="1610" w:type="dxa"/>
            <w:tcBorders>
              <w:top w:val="single" w:sz="4" w:space="0" w:color="auto"/>
              <w:left w:val="single" w:sz="4" w:space="0" w:color="auto"/>
              <w:bottom w:val="single" w:sz="4" w:space="0" w:color="auto"/>
              <w:right w:val="single" w:sz="4" w:space="0" w:color="auto"/>
            </w:tcBorders>
            <w:hideMark/>
          </w:tcPr>
          <w:p w:rsidR="00A9207D" w:rsidRDefault="00A9207D">
            <w:pPr>
              <w:rPr>
                <w:rFonts w:asciiTheme="minorHAnsi" w:eastAsiaTheme="minorHAnsi" w:hAnsiTheme="minorHAnsi"/>
                <w:sz w:val="24"/>
                <w:szCs w:val="24"/>
                <w:lang w:val="hr-HR" w:eastAsia="en-US"/>
              </w:rPr>
            </w:pPr>
            <w:r>
              <w:rPr>
                <w:rFonts w:asciiTheme="minorHAnsi" w:eastAsiaTheme="minorHAnsi" w:hAnsiTheme="minorHAnsi"/>
                <w:sz w:val="24"/>
                <w:szCs w:val="24"/>
                <w:lang w:val="hr-HR" w:eastAsia="en-US"/>
              </w:rPr>
              <w:t xml:space="preserve">          6.774,19</w:t>
            </w:r>
          </w:p>
        </w:tc>
      </w:tr>
      <w:tr w:rsidR="00A9207D" w:rsidTr="00A9207D">
        <w:tc>
          <w:tcPr>
            <w:tcW w:w="5562" w:type="dxa"/>
            <w:tcBorders>
              <w:top w:val="single" w:sz="4" w:space="0" w:color="auto"/>
              <w:left w:val="single" w:sz="4" w:space="0" w:color="auto"/>
              <w:bottom w:val="single" w:sz="4" w:space="0" w:color="auto"/>
              <w:right w:val="single" w:sz="4" w:space="0" w:color="auto"/>
            </w:tcBorders>
            <w:hideMark/>
          </w:tcPr>
          <w:p w:rsidR="00A9207D" w:rsidRDefault="00A9207D">
            <w:pPr>
              <w:rPr>
                <w:sz w:val="24"/>
                <w:lang w:val="hr-HR" w:eastAsia="en-US"/>
              </w:rPr>
            </w:pPr>
            <w:r>
              <w:rPr>
                <w:sz w:val="24"/>
                <w:lang w:val="hr-HR" w:eastAsia="en-US"/>
              </w:rPr>
              <w:t xml:space="preserve">- prilivi od kamata, dividendi i sl. </w:t>
            </w:r>
          </w:p>
        </w:tc>
        <w:tc>
          <w:tcPr>
            <w:tcW w:w="1610" w:type="dxa"/>
            <w:tcBorders>
              <w:top w:val="single" w:sz="4" w:space="0" w:color="auto"/>
              <w:left w:val="single" w:sz="4" w:space="0" w:color="auto"/>
              <w:bottom w:val="single" w:sz="4" w:space="0" w:color="auto"/>
              <w:right w:val="single" w:sz="4" w:space="0" w:color="auto"/>
            </w:tcBorders>
            <w:hideMark/>
          </w:tcPr>
          <w:p w:rsidR="00A9207D" w:rsidRDefault="00A9207D">
            <w:pPr>
              <w:rPr>
                <w:rFonts w:asciiTheme="minorHAnsi" w:eastAsiaTheme="minorHAnsi" w:hAnsiTheme="minorHAnsi"/>
                <w:sz w:val="24"/>
                <w:szCs w:val="24"/>
                <w:lang w:val="hr-HR" w:eastAsia="en-US"/>
              </w:rPr>
            </w:pPr>
            <w:r>
              <w:rPr>
                <w:rFonts w:asciiTheme="minorHAnsi" w:eastAsiaTheme="minorHAnsi" w:hAnsiTheme="minorHAnsi"/>
                <w:lang w:val="hr-HR" w:eastAsia="en-US"/>
              </w:rPr>
              <w:t xml:space="preserve">            </w:t>
            </w:r>
            <w:r>
              <w:rPr>
                <w:rFonts w:asciiTheme="minorHAnsi" w:eastAsiaTheme="minorHAnsi" w:hAnsiTheme="minorHAnsi"/>
                <w:sz w:val="24"/>
                <w:szCs w:val="24"/>
                <w:lang w:val="hr-HR" w:eastAsia="en-US"/>
              </w:rPr>
              <w:t>4.578,43</w:t>
            </w:r>
          </w:p>
        </w:tc>
      </w:tr>
      <w:tr w:rsidR="00A9207D" w:rsidTr="00A9207D">
        <w:tc>
          <w:tcPr>
            <w:tcW w:w="5562" w:type="dxa"/>
            <w:tcBorders>
              <w:top w:val="single" w:sz="4" w:space="0" w:color="auto"/>
              <w:left w:val="single" w:sz="4" w:space="0" w:color="auto"/>
              <w:bottom w:val="single" w:sz="4" w:space="0" w:color="auto"/>
              <w:right w:val="single" w:sz="4" w:space="0" w:color="auto"/>
            </w:tcBorders>
            <w:hideMark/>
          </w:tcPr>
          <w:p w:rsidR="00A9207D" w:rsidRDefault="00A9207D">
            <w:pPr>
              <w:rPr>
                <w:sz w:val="24"/>
                <w:lang w:val="hr-HR" w:eastAsia="en-US"/>
              </w:rPr>
            </w:pPr>
            <w:r>
              <w:rPr>
                <w:sz w:val="24"/>
                <w:lang w:val="hr-HR" w:eastAsia="en-US"/>
              </w:rPr>
              <w:t xml:space="preserve">- primljeni predujam za troškove sudskih sporova </w:t>
            </w:r>
          </w:p>
        </w:tc>
        <w:tc>
          <w:tcPr>
            <w:tcW w:w="1610" w:type="dxa"/>
            <w:tcBorders>
              <w:top w:val="single" w:sz="4" w:space="0" w:color="auto"/>
              <w:left w:val="single" w:sz="4" w:space="0" w:color="auto"/>
              <w:bottom w:val="single" w:sz="4" w:space="0" w:color="auto"/>
              <w:right w:val="single" w:sz="4" w:space="0" w:color="auto"/>
            </w:tcBorders>
            <w:hideMark/>
          </w:tcPr>
          <w:p w:rsidR="00A9207D" w:rsidRDefault="00A9207D">
            <w:pPr>
              <w:rPr>
                <w:rFonts w:asciiTheme="minorHAnsi" w:eastAsiaTheme="minorHAnsi" w:hAnsiTheme="minorHAnsi"/>
                <w:sz w:val="24"/>
                <w:szCs w:val="24"/>
                <w:lang w:val="hr-HR" w:eastAsia="en-US"/>
              </w:rPr>
            </w:pPr>
            <w:r>
              <w:rPr>
                <w:rFonts w:asciiTheme="minorHAnsi" w:eastAsiaTheme="minorHAnsi" w:hAnsiTheme="minorHAnsi"/>
                <w:sz w:val="24"/>
                <w:szCs w:val="24"/>
                <w:lang w:val="hr-HR" w:eastAsia="en-US"/>
              </w:rPr>
              <w:t xml:space="preserve">       45.000,00 </w:t>
            </w:r>
          </w:p>
        </w:tc>
      </w:tr>
      <w:tr w:rsidR="00A9207D" w:rsidTr="00A9207D">
        <w:tc>
          <w:tcPr>
            <w:tcW w:w="5562" w:type="dxa"/>
            <w:tcBorders>
              <w:top w:val="single" w:sz="4" w:space="0" w:color="auto"/>
              <w:left w:val="single" w:sz="4" w:space="0" w:color="auto"/>
              <w:bottom w:val="single" w:sz="4" w:space="0" w:color="auto"/>
              <w:right w:val="single" w:sz="4" w:space="0" w:color="auto"/>
            </w:tcBorders>
            <w:hideMark/>
          </w:tcPr>
          <w:p w:rsidR="00A9207D" w:rsidRDefault="00A9207D">
            <w:pPr>
              <w:rPr>
                <w:sz w:val="24"/>
                <w:lang w:val="hr-HR" w:eastAsia="en-US"/>
              </w:rPr>
            </w:pPr>
            <w:r>
              <w:rPr>
                <w:sz w:val="24"/>
                <w:lang w:val="hr-HR" w:eastAsia="en-US"/>
              </w:rPr>
              <w:t>- primljene jamčevine po neprihvaćenim ponudama</w:t>
            </w:r>
          </w:p>
        </w:tc>
        <w:tc>
          <w:tcPr>
            <w:tcW w:w="1610" w:type="dxa"/>
            <w:tcBorders>
              <w:top w:val="single" w:sz="4" w:space="0" w:color="auto"/>
              <w:left w:val="single" w:sz="4" w:space="0" w:color="auto"/>
              <w:bottom w:val="single" w:sz="4" w:space="0" w:color="auto"/>
              <w:right w:val="single" w:sz="4" w:space="0" w:color="auto"/>
            </w:tcBorders>
            <w:hideMark/>
          </w:tcPr>
          <w:p w:rsidR="00A9207D" w:rsidRDefault="00A9207D">
            <w:pPr>
              <w:rPr>
                <w:rFonts w:asciiTheme="minorHAnsi" w:eastAsiaTheme="minorHAnsi" w:hAnsiTheme="minorHAnsi"/>
                <w:sz w:val="24"/>
                <w:szCs w:val="24"/>
                <w:lang w:val="hr-HR" w:eastAsia="en-US"/>
              </w:rPr>
            </w:pPr>
            <w:r>
              <w:rPr>
                <w:rFonts w:asciiTheme="minorHAnsi" w:eastAsiaTheme="minorHAnsi" w:hAnsiTheme="minorHAnsi"/>
                <w:sz w:val="24"/>
                <w:szCs w:val="24"/>
                <w:lang w:val="hr-HR" w:eastAsia="en-US"/>
              </w:rPr>
              <w:t xml:space="preserve">         9.800,00</w:t>
            </w:r>
          </w:p>
        </w:tc>
      </w:tr>
      <w:tr w:rsidR="00A9207D" w:rsidTr="00A9207D">
        <w:tc>
          <w:tcPr>
            <w:tcW w:w="5562" w:type="dxa"/>
            <w:tcBorders>
              <w:top w:val="single" w:sz="4" w:space="0" w:color="auto"/>
              <w:left w:val="single" w:sz="4" w:space="0" w:color="auto"/>
              <w:bottom w:val="single" w:sz="4" w:space="0" w:color="auto"/>
              <w:right w:val="single" w:sz="4" w:space="0" w:color="auto"/>
            </w:tcBorders>
            <w:hideMark/>
          </w:tcPr>
          <w:p w:rsidR="00A9207D" w:rsidRDefault="00A9207D">
            <w:pPr>
              <w:rPr>
                <w:sz w:val="24"/>
                <w:lang w:val="hr-HR" w:eastAsia="en-US"/>
              </w:rPr>
            </w:pPr>
            <w:r>
              <w:rPr>
                <w:sz w:val="24"/>
                <w:lang w:val="hr-HR" w:eastAsia="en-US"/>
              </w:rPr>
              <w:t>- naplata zajmova od članova društva</w:t>
            </w:r>
          </w:p>
        </w:tc>
        <w:tc>
          <w:tcPr>
            <w:tcW w:w="1610" w:type="dxa"/>
            <w:tcBorders>
              <w:top w:val="single" w:sz="4" w:space="0" w:color="auto"/>
              <w:left w:val="single" w:sz="4" w:space="0" w:color="auto"/>
              <w:bottom w:val="single" w:sz="4" w:space="0" w:color="auto"/>
              <w:right w:val="single" w:sz="4" w:space="0" w:color="auto"/>
            </w:tcBorders>
            <w:hideMark/>
          </w:tcPr>
          <w:p w:rsidR="00A9207D" w:rsidRDefault="00A9207D">
            <w:pPr>
              <w:rPr>
                <w:rFonts w:asciiTheme="minorHAnsi" w:eastAsiaTheme="minorHAnsi" w:hAnsiTheme="minorHAnsi"/>
                <w:sz w:val="24"/>
                <w:szCs w:val="24"/>
                <w:lang w:val="hr-HR" w:eastAsia="en-US"/>
              </w:rPr>
            </w:pPr>
            <w:r>
              <w:rPr>
                <w:rFonts w:asciiTheme="minorHAnsi" w:eastAsiaTheme="minorHAnsi" w:hAnsiTheme="minorHAnsi"/>
                <w:sz w:val="24"/>
                <w:szCs w:val="24"/>
                <w:lang w:val="hr-HR" w:eastAsia="en-US"/>
              </w:rPr>
              <w:t xml:space="preserve">       33.700,14</w:t>
            </w:r>
          </w:p>
        </w:tc>
      </w:tr>
      <w:tr w:rsidR="00A9207D" w:rsidTr="00A9207D">
        <w:tc>
          <w:tcPr>
            <w:tcW w:w="5562" w:type="dxa"/>
            <w:tcBorders>
              <w:top w:val="single" w:sz="4" w:space="0" w:color="auto"/>
              <w:left w:val="single" w:sz="4" w:space="0" w:color="auto"/>
              <w:bottom w:val="single" w:sz="4" w:space="0" w:color="auto"/>
              <w:right w:val="single" w:sz="4" w:space="0" w:color="auto"/>
            </w:tcBorders>
          </w:tcPr>
          <w:p w:rsidR="00A9207D" w:rsidRDefault="00A9207D">
            <w:pPr>
              <w:rPr>
                <w:sz w:val="24"/>
                <w:lang w:val="hr-HR" w:eastAsia="en-US"/>
              </w:rPr>
            </w:pPr>
          </w:p>
        </w:tc>
        <w:tc>
          <w:tcPr>
            <w:tcW w:w="1610" w:type="dxa"/>
            <w:tcBorders>
              <w:top w:val="single" w:sz="4" w:space="0" w:color="auto"/>
              <w:left w:val="single" w:sz="4" w:space="0" w:color="auto"/>
              <w:bottom w:val="single" w:sz="4" w:space="0" w:color="auto"/>
              <w:right w:val="single" w:sz="4" w:space="0" w:color="auto"/>
            </w:tcBorders>
          </w:tcPr>
          <w:p w:rsidR="00A9207D" w:rsidRDefault="00A9207D">
            <w:pPr>
              <w:rPr>
                <w:rFonts w:asciiTheme="minorHAnsi" w:eastAsiaTheme="minorHAnsi" w:hAnsiTheme="minorHAnsi"/>
                <w:sz w:val="24"/>
                <w:szCs w:val="24"/>
                <w:lang w:val="hr-HR" w:eastAsia="en-US"/>
              </w:rPr>
            </w:pPr>
          </w:p>
        </w:tc>
      </w:tr>
      <w:tr w:rsidR="00A9207D" w:rsidTr="00A9207D">
        <w:tc>
          <w:tcPr>
            <w:tcW w:w="5562" w:type="dxa"/>
            <w:tcBorders>
              <w:top w:val="single" w:sz="4" w:space="0" w:color="auto"/>
              <w:left w:val="single" w:sz="4" w:space="0" w:color="auto"/>
              <w:bottom w:val="single" w:sz="4" w:space="0" w:color="auto"/>
              <w:right w:val="single" w:sz="4" w:space="0" w:color="auto"/>
            </w:tcBorders>
            <w:hideMark/>
          </w:tcPr>
          <w:p w:rsidR="00A9207D" w:rsidRDefault="00A9207D">
            <w:pPr>
              <w:rPr>
                <w:b/>
                <w:sz w:val="24"/>
                <w:lang w:val="hr-HR" w:eastAsia="en-US"/>
              </w:rPr>
            </w:pPr>
            <w:r>
              <w:rPr>
                <w:b/>
                <w:sz w:val="24"/>
                <w:lang w:val="hr-HR" w:eastAsia="en-US"/>
              </w:rPr>
              <w:t>Ukupno ostvareni prilivi novčanih sredstava:</w:t>
            </w:r>
          </w:p>
        </w:tc>
        <w:tc>
          <w:tcPr>
            <w:tcW w:w="1610" w:type="dxa"/>
            <w:tcBorders>
              <w:top w:val="single" w:sz="4" w:space="0" w:color="auto"/>
              <w:left w:val="single" w:sz="4" w:space="0" w:color="auto"/>
              <w:bottom w:val="single" w:sz="4" w:space="0" w:color="auto"/>
              <w:right w:val="single" w:sz="4" w:space="0" w:color="auto"/>
            </w:tcBorders>
            <w:hideMark/>
          </w:tcPr>
          <w:p w:rsidR="00A9207D" w:rsidRDefault="00A9207D">
            <w:pPr>
              <w:rPr>
                <w:b/>
                <w:sz w:val="24"/>
                <w:lang w:val="hr-HR" w:eastAsia="en-US"/>
              </w:rPr>
            </w:pPr>
            <w:r>
              <w:rPr>
                <w:b/>
                <w:sz w:val="24"/>
                <w:lang w:val="hr-HR" w:eastAsia="en-US"/>
              </w:rPr>
              <w:t xml:space="preserve">     443.631,80</w:t>
            </w:r>
          </w:p>
        </w:tc>
      </w:tr>
    </w:tbl>
    <w:p w:rsidR="00A9207D" w:rsidRDefault="00A9207D" w:rsidP="00A9207D">
      <w:pPr>
        <w:ind w:left="567"/>
        <w:rPr>
          <w:sz w:val="24"/>
          <w:lang w:val="hr-HR"/>
        </w:rPr>
      </w:pPr>
    </w:p>
    <w:p w:rsidR="00A9207D" w:rsidRDefault="00A9207D" w:rsidP="00A9207D">
      <w:pPr>
        <w:ind w:left="567"/>
        <w:rPr>
          <w:sz w:val="24"/>
          <w:lang w:val="hr-HR"/>
        </w:rPr>
      </w:pPr>
      <w:r>
        <w:rPr>
          <w:sz w:val="24"/>
          <w:lang w:val="hr-HR"/>
        </w:rPr>
        <w:t xml:space="preserve">B/ OSTVARENI ODLIVI NOVČANIH SREDSTAVA </w:t>
      </w:r>
    </w:p>
    <w:p w:rsidR="00A9207D" w:rsidRDefault="00A9207D" w:rsidP="00A9207D">
      <w:pPr>
        <w:ind w:left="567"/>
        <w:rPr>
          <w:sz w:val="24"/>
          <w:lang w:val="hr-HR"/>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3261"/>
      </w:tblGrid>
      <w:tr w:rsidR="00A9207D" w:rsidTr="00A9207D">
        <w:tc>
          <w:tcPr>
            <w:tcW w:w="3969" w:type="dxa"/>
            <w:tcBorders>
              <w:top w:val="single" w:sz="4" w:space="0" w:color="auto"/>
              <w:left w:val="single" w:sz="4" w:space="0" w:color="auto"/>
              <w:bottom w:val="single" w:sz="4" w:space="0" w:color="auto"/>
              <w:right w:val="single" w:sz="4" w:space="0" w:color="auto"/>
            </w:tcBorders>
            <w:vAlign w:val="center"/>
            <w:hideMark/>
          </w:tcPr>
          <w:p w:rsidR="00A9207D" w:rsidRDefault="00A9207D">
            <w:pPr>
              <w:spacing w:line="276" w:lineRule="auto"/>
              <w:jc w:val="center"/>
              <w:rPr>
                <w:b/>
                <w:lang w:val="hr-HR" w:eastAsia="en-US"/>
              </w:rPr>
            </w:pPr>
            <w:r>
              <w:rPr>
                <w:b/>
                <w:lang w:val="hr-HR" w:eastAsia="en-US"/>
              </w:rPr>
              <w:t>Vrsta troška</w:t>
            </w:r>
          </w:p>
        </w:tc>
        <w:tc>
          <w:tcPr>
            <w:tcW w:w="3261" w:type="dxa"/>
            <w:tcBorders>
              <w:top w:val="single" w:sz="4" w:space="0" w:color="auto"/>
              <w:left w:val="single" w:sz="4" w:space="0" w:color="auto"/>
              <w:bottom w:val="single" w:sz="4" w:space="0" w:color="auto"/>
              <w:right w:val="single" w:sz="4" w:space="0" w:color="auto"/>
            </w:tcBorders>
            <w:vAlign w:val="center"/>
            <w:hideMark/>
          </w:tcPr>
          <w:p w:rsidR="00A9207D" w:rsidRDefault="00A9207D">
            <w:pPr>
              <w:spacing w:line="276" w:lineRule="auto"/>
              <w:jc w:val="center"/>
              <w:rPr>
                <w:b/>
                <w:lang w:val="hr-HR" w:eastAsia="en-US"/>
              </w:rPr>
            </w:pPr>
            <w:r>
              <w:rPr>
                <w:b/>
                <w:lang w:val="hr-HR" w:eastAsia="en-US"/>
              </w:rPr>
              <w:t>Ukupno</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trošak bankarske naknade</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613,30</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troškovi knjigovodstvenog servisa</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15.000,00</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troškovi procjene pokretnina</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6.250,00</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troškovi suradnika - bruto</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4.255,32</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troškovi sudskih pristojbi</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7.500,00</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-plaćen PDV i druga davanja RH</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57.572,78</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troškovi odvjetnika</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10.575,00</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izvršen povrat jamčevina</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9.800,00</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troškovi Narodnih novina - objava</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355,67</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ostali materijalni troškovi</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582,45</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djelomična dioba – I isplatni red</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42.773,54</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xml:space="preserve">  </w:t>
            </w:r>
          </w:p>
        </w:tc>
        <w:tc>
          <w:tcPr>
            <w:tcW w:w="3261" w:type="dxa"/>
            <w:tcBorders>
              <w:top w:val="single" w:sz="4" w:space="0" w:color="auto"/>
              <w:left w:val="single" w:sz="4" w:space="0" w:color="auto"/>
              <w:bottom w:val="single" w:sz="4" w:space="0" w:color="auto"/>
              <w:right w:val="single" w:sz="4" w:space="0" w:color="auto"/>
            </w:tcBorders>
          </w:tcPr>
          <w:p w:rsidR="00A9207D" w:rsidRDefault="00A9207D">
            <w:pPr>
              <w:spacing w:line="276" w:lineRule="auto"/>
              <w:jc w:val="right"/>
              <w:rPr>
                <w:lang w:val="hr-HR" w:eastAsia="en-US"/>
              </w:rPr>
            </w:pP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b/>
                <w:sz w:val="24"/>
                <w:szCs w:val="24"/>
                <w:lang w:val="hr-HR" w:eastAsia="en-US"/>
              </w:rPr>
            </w:pPr>
            <w:r>
              <w:rPr>
                <w:sz w:val="24"/>
                <w:szCs w:val="24"/>
                <w:lang w:val="hr-HR" w:eastAsia="en-US"/>
              </w:rPr>
              <w:t xml:space="preserve">   </w:t>
            </w:r>
            <w:r>
              <w:rPr>
                <w:b/>
                <w:sz w:val="24"/>
                <w:szCs w:val="24"/>
                <w:lang w:val="hr-HR" w:eastAsia="en-US"/>
              </w:rPr>
              <w:t>Ukupno odlivi tijekom postupka</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b/>
                <w:sz w:val="24"/>
                <w:szCs w:val="24"/>
                <w:lang w:val="hr-HR" w:eastAsia="en-US"/>
              </w:rPr>
            </w:pPr>
            <w:r>
              <w:rPr>
                <w:b/>
                <w:sz w:val="24"/>
                <w:szCs w:val="24"/>
                <w:lang w:val="hr-HR" w:eastAsia="en-US"/>
              </w:rPr>
              <w:t>155.278,06</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b/>
                <w:sz w:val="24"/>
                <w:szCs w:val="24"/>
                <w:lang w:val="hr-HR" w:eastAsia="en-US"/>
              </w:rPr>
            </w:pPr>
            <w:r>
              <w:rPr>
                <w:b/>
                <w:sz w:val="24"/>
                <w:szCs w:val="24"/>
                <w:lang w:val="hr-HR" w:eastAsia="en-US"/>
              </w:rPr>
              <w:t>Stanje novčanih sredstava na računu i blagajni</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b/>
                <w:sz w:val="24"/>
                <w:szCs w:val="24"/>
                <w:lang w:val="hr-HR" w:eastAsia="en-US"/>
              </w:rPr>
            </w:pPr>
            <w:r>
              <w:rPr>
                <w:b/>
                <w:sz w:val="24"/>
                <w:szCs w:val="24"/>
                <w:lang w:val="hr-HR" w:eastAsia="en-US"/>
              </w:rPr>
              <w:t>288.353,74</w:t>
            </w:r>
          </w:p>
        </w:tc>
      </w:tr>
      <w:tr w:rsidR="00A9207D" w:rsidTr="00A9207D">
        <w:tc>
          <w:tcPr>
            <w:tcW w:w="3969" w:type="dxa"/>
            <w:tcBorders>
              <w:top w:val="single" w:sz="4" w:space="0" w:color="auto"/>
              <w:left w:val="single" w:sz="4" w:space="0" w:color="auto"/>
              <w:bottom w:val="single" w:sz="4" w:space="0" w:color="auto"/>
              <w:right w:val="single" w:sz="4" w:space="0" w:color="auto"/>
            </w:tcBorders>
          </w:tcPr>
          <w:p w:rsidR="00A9207D" w:rsidRDefault="00A9207D">
            <w:pPr>
              <w:spacing w:line="276" w:lineRule="auto"/>
              <w:rPr>
                <w:b/>
                <w:sz w:val="24"/>
                <w:szCs w:val="24"/>
                <w:lang w:val="hr-HR" w:eastAsia="en-US"/>
              </w:rPr>
            </w:pPr>
          </w:p>
        </w:tc>
        <w:tc>
          <w:tcPr>
            <w:tcW w:w="3261" w:type="dxa"/>
            <w:tcBorders>
              <w:top w:val="single" w:sz="4" w:space="0" w:color="auto"/>
              <w:left w:val="single" w:sz="4" w:space="0" w:color="auto"/>
              <w:bottom w:val="single" w:sz="4" w:space="0" w:color="auto"/>
              <w:right w:val="single" w:sz="4" w:space="0" w:color="auto"/>
            </w:tcBorders>
          </w:tcPr>
          <w:p w:rsidR="00A9207D" w:rsidRDefault="00A9207D">
            <w:pPr>
              <w:spacing w:line="276" w:lineRule="auto"/>
              <w:jc w:val="right"/>
              <w:rPr>
                <w:b/>
                <w:sz w:val="24"/>
                <w:szCs w:val="24"/>
                <w:lang w:val="hr-HR" w:eastAsia="en-US"/>
              </w:rPr>
            </w:pP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b/>
                <w:sz w:val="24"/>
                <w:szCs w:val="24"/>
                <w:lang w:val="hr-HR" w:eastAsia="en-US"/>
              </w:rPr>
            </w:pPr>
            <w:r>
              <w:rPr>
                <w:b/>
                <w:sz w:val="24"/>
                <w:szCs w:val="24"/>
                <w:lang w:val="hr-HR" w:eastAsia="en-US"/>
              </w:rPr>
              <w:lastRenderedPageBreak/>
              <w:t>Rezervacije troškova čl. 86./ 87. SZ</w:t>
            </w:r>
          </w:p>
        </w:tc>
        <w:tc>
          <w:tcPr>
            <w:tcW w:w="3261" w:type="dxa"/>
            <w:tcBorders>
              <w:top w:val="single" w:sz="4" w:space="0" w:color="auto"/>
              <w:left w:val="single" w:sz="4" w:space="0" w:color="auto"/>
              <w:bottom w:val="single" w:sz="4" w:space="0" w:color="auto"/>
              <w:right w:val="single" w:sz="4" w:space="0" w:color="auto"/>
            </w:tcBorders>
          </w:tcPr>
          <w:p w:rsidR="00A9207D" w:rsidRDefault="00A9207D">
            <w:pPr>
              <w:spacing w:line="276" w:lineRule="auto"/>
              <w:jc w:val="right"/>
              <w:rPr>
                <w:lang w:val="hr-HR" w:eastAsia="en-US"/>
              </w:rPr>
            </w:pP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neisplaćena bruto nagrada privremenog stečajnog upravitelja</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20.390,09</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neisplaćena bruto nagrada stečajnog upravitelja</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71.382,58</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xml:space="preserve">- povrat predujma za troškove parnice od RH </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45.000,00</w:t>
            </w: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bankarska naknada do zaključenja i brisanja stečajnog dužnika</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700,00</w:t>
            </w:r>
          </w:p>
        </w:tc>
      </w:tr>
      <w:tr w:rsidR="00A9207D" w:rsidTr="00A9207D">
        <w:tc>
          <w:tcPr>
            <w:tcW w:w="3969" w:type="dxa"/>
            <w:tcBorders>
              <w:top w:val="single" w:sz="4" w:space="0" w:color="auto"/>
              <w:left w:val="single" w:sz="4" w:space="0" w:color="auto"/>
              <w:bottom w:val="nil"/>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troškovi smještaja arhivske građe – radno pravna dokumentacija</w:t>
            </w:r>
          </w:p>
        </w:tc>
        <w:tc>
          <w:tcPr>
            <w:tcW w:w="3261" w:type="dxa"/>
            <w:tcBorders>
              <w:top w:val="single" w:sz="4" w:space="0" w:color="auto"/>
              <w:left w:val="single" w:sz="4" w:space="0" w:color="auto"/>
              <w:bottom w:val="nil"/>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937,50</w:t>
            </w:r>
          </w:p>
        </w:tc>
      </w:tr>
      <w:tr w:rsidR="00A9207D" w:rsidTr="00A9207D">
        <w:tc>
          <w:tcPr>
            <w:tcW w:w="3969" w:type="dxa"/>
            <w:tcBorders>
              <w:top w:val="single" w:sz="4" w:space="0" w:color="auto"/>
              <w:left w:val="single" w:sz="4" w:space="0" w:color="auto"/>
              <w:bottom w:val="nil"/>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troškovi parnice u tijeku</w:t>
            </w:r>
          </w:p>
        </w:tc>
        <w:tc>
          <w:tcPr>
            <w:tcW w:w="3261" w:type="dxa"/>
            <w:tcBorders>
              <w:top w:val="single" w:sz="4" w:space="0" w:color="auto"/>
              <w:left w:val="single" w:sz="4" w:space="0" w:color="auto"/>
              <w:bottom w:val="nil"/>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45.000,00</w:t>
            </w:r>
          </w:p>
        </w:tc>
      </w:tr>
      <w:tr w:rsidR="00A9207D" w:rsidTr="00A9207D">
        <w:tc>
          <w:tcPr>
            <w:tcW w:w="3969" w:type="dxa"/>
            <w:tcBorders>
              <w:top w:val="single" w:sz="4" w:space="0" w:color="auto"/>
              <w:left w:val="single" w:sz="4" w:space="0" w:color="auto"/>
              <w:bottom w:val="nil"/>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troškovi knjigovodstva do zaključenja i brisanja iz registra</w:t>
            </w:r>
          </w:p>
        </w:tc>
        <w:tc>
          <w:tcPr>
            <w:tcW w:w="3261" w:type="dxa"/>
            <w:tcBorders>
              <w:top w:val="single" w:sz="4" w:space="0" w:color="auto"/>
              <w:left w:val="single" w:sz="4" w:space="0" w:color="auto"/>
              <w:bottom w:val="nil"/>
              <w:right w:val="single" w:sz="4" w:space="0" w:color="auto"/>
            </w:tcBorders>
            <w:hideMark/>
          </w:tcPr>
          <w:p w:rsidR="00A9207D" w:rsidRDefault="00A9207D">
            <w:pPr>
              <w:spacing w:line="276" w:lineRule="auto"/>
              <w:jc w:val="right"/>
              <w:rPr>
                <w:sz w:val="24"/>
                <w:szCs w:val="24"/>
                <w:lang w:val="hr-HR" w:eastAsia="en-US"/>
              </w:rPr>
            </w:pPr>
            <w:r>
              <w:rPr>
                <w:sz w:val="24"/>
                <w:szCs w:val="24"/>
                <w:lang w:val="hr-HR" w:eastAsia="en-US"/>
              </w:rPr>
              <w:t>5.000,00</w:t>
            </w:r>
          </w:p>
        </w:tc>
      </w:tr>
      <w:tr w:rsidR="00A9207D" w:rsidTr="00A9207D">
        <w:tc>
          <w:tcPr>
            <w:tcW w:w="3969" w:type="dxa"/>
            <w:tcBorders>
              <w:top w:val="single" w:sz="4" w:space="0" w:color="auto"/>
              <w:left w:val="single" w:sz="4" w:space="0" w:color="auto"/>
              <w:bottom w:val="nil"/>
              <w:right w:val="single" w:sz="4" w:space="0" w:color="auto"/>
            </w:tcBorders>
            <w:hideMark/>
          </w:tcPr>
          <w:p w:rsidR="00A9207D" w:rsidRDefault="00A9207D">
            <w:pPr>
              <w:spacing w:line="276" w:lineRule="auto"/>
              <w:rPr>
                <w:sz w:val="24"/>
                <w:szCs w:val="24"/>
                <w:lang w:val="hr-HR" w:eastAsia="en-US"/>
              </w:rPr>
            </w:pPr>
            <w:r>
              <w:rPr>
                <w:sz w:val="24"/>
                <w:szCs w:val="24"/>
                <w:lang w:val="hr-HR" w:eastAsia="en-US"/>
              </w:rPr>
              <w:t>- ostali sitni materijalni troškovi</w:t>
            </w:r>
          </w:p>
        </w:tc>
        <w:tc>
          <w:tcPr>
            <w:tcW w:w="3261" w:type="dxa"/>
            <w:tcBorders>
              <w:top w:val="single" w:sz="4" w:space="0" w:color="auto"/>
              <w:left w:val="single" w:sz="4" w:space="0" w:color="auto"/>
              <w:bottom w:val="nil"/>
              <w:right w:val="single" w:sz="4" w:space="0" w:color="auto"/>
            </w:tcBorders>
            <w:hideMark/>
          </w:tcPr>
          <w:p w:rsidR="00A9207D" w:rsidRDefault="00A9207D">
            <w:pPr>
              <w:spacing w:line="276" w:lineRule="auto"/>
              <w:jc w:val="right"/>
              <w:rPr>
                <w:b/>
                <w:sz w:val="24"/>
                <w:szCs w:val="24"/>
                <w:lang w:val="hr-HR" w:eastAsia="en-US"/>
              </w:rPr>
            </w:pPr>
            <w:r>
              <w:rPr>
                <w:b/>
                <w:sz w:val="24"/>
                <w:szCs w:val="24"/>
                <w:lang w:val="hr-HR" w:eastAsia="en-US"/>
              </w:rPr>
              <w:t>500,00</w:t>
            </w:r>
          </w:p>
        </w:tc>
      </w:tr>
      <w:tr w:rsidR="00A9207D" w:rsidTr="00A9207D">
        <w:tc>
          <w:tcPr>
            <w:tcW w:w="3969" w:type="dxa"/>
            <w:tcBorders>
              <w:top w:val="single" w:sz="4" w:space="0" w:color="auto"/>
              <w:left w:val="single" w:sz="4" w:space="0" w:color="auto"/>
              <w:bottom w:val="nil"/>
              <w:right w:val="single" w:sz="4" w:space="0" w:color="auto"/>
            </w:tcBorders>
            <w:hideMark/>
          </w:tcPr>
          <w:p w:rsidR="00A9207D" w:rsidRDefault="00A9207D">
            <w:pPr>
              <w:spacing w:line="276" w:lineRule="auto"/>
              <w:rPr>
                <w:b/>
                <w:sz w:val="24"/>
                <w:szCs w:val="24"/>
                <w:lang w:val="hr-HR" w:eastAsia="en-US"/>
              </w:rPr>
            </w:pPr>
            <w:r>
              <w:rPr>
                <w:b/>
                <w:sz w:val="24"/>
                <w:szCs w:val="24"/>
                <w:lang w:val="hr-HR" w:eastAsia="en-US"/>
              </w:rPr>
              <w:t>Ukupno rezervacija za troškove</w:t>
            </w:r>
          </w:p>
        </w:tc>
        <w:tc>
          <w:tcPr>
            <w:tcW w:w="3261" w:type="dxa"/>
            <w:tcBorders>
              <w:top w:val="single" w:sz="4" w:space="0" w:color="auto"/>
              <w:left w:val="single" w:sz="4" w:space="0" w:color="auto"/>
              <w:bottom w:val="nil"/>
              <w:right w:val="single" w:sz="4" w:space="0" w:color="auto"/>
            </w:tcBorders>
            <w:hideMark/>
          </w:tcPr>
          <w:p w:rsidR="00A9207D" w:rsidRDefault="00A9207D">
            <w:pPr>
              <w:spacing w:line="276" w:lineRule="auto"/>
              <w:jc w:val="right"/>
              <w:rPr>
                <w:b/>
                <w:sz w:val="24"/>
                <w:szCs w:val="24"/>
                <w:lang w:val="hr-HR" w:eastAsia="en-US"/>
              </w:rPr>
            </w:pPr>
            <w:r>
              <w:rPr>
                <w:b/>
                <w:sz w:val="24"/>
                <w:szCs w:val="24"/>
                <w:lang w:val="hr-HR" w:eastAsia="en-US"/>
              </w:rPr>
              <w:t>188.910,17</w:t>
            </w:r>
          </w:p>
        </w:tc>
      </w:tr>
      <w:tr w:rsidR="00A9207D" w:rsidTr="00A9207D">
        <w:tc>
          <w:tcPr>
            <w:tcW w:w="3969" w:type="dxa"/>
            <w:tcBorders>
              <w:top w:val="single" w:sz="4" w:space="0" w:color="auto"/>
              <w:left w:val="single" w:sz="4" w:space="0" w:color="auto"/>
              <w:bottom w:val="nil"/>
              <w:right w:val="single" w:sz="4" w:space="0" w:color="auto"/>
            </w:tcBorders>
          </w:tcPr>
          <w:p w:rsidR="00A9207D" w:rsidRDefault="00A9207D">
            <w:pPr>
              <w:spacing w:line="276" w:lineRule="auto"/>
              <w:rPr>
                <w:b/>
                <w:sz w:val="24"/>
                <w:szCs w:val="24"/>
                <w:lang w:val="hr-HR" w:eastAsia="en-US"/>
              </w:rPr>
            </w:pPr>
            <w:r>
              <w:rPr>
                <w:b/>
                <w:sz w:val="24"/>
                <w:szCs w:val="24"/>
                <w:lang w:val="hr-HR" w:eastAsia="en-US"/>
              </w:rPr>
              <w:t>Rezervacija za istaknut prigovor na prijeboj za zajam članu društva</w:t>
            </w:r>
          </w:p>
        </w:tc>
        <w:tc>
          <w:tcPr>
            <w:tcW w:w="3261" w:type="dxa"/>
            <w:tcBorders>
              <w:top w:val="single" w:sz="4" w:space="0" w:color="auto"/>
              <w:left w:val="single" w:sz="4" w:space="0" w:color="auto"/>
              <w:bottom w:val="nil"/>
              <w:right w:val="single" w:sz="4" w:space="0" w:color="auto"/>
            </w:tcBorders>
          </w:tcPr>
          <w:p w:rsidR="00A9207D" w:rsidRDefault="00A9207D">
            <w:pPr>
              <w:spacing w:line="276" w:lineRule="auto"/>
              <w:jc w:val="right"/>
              <w:rPr>
                <w:b/>
                <w:sz w:val="24"/>
                <w:szCs w:val="24"/>
                <w:lang w:val="hr-HR" w:eastAsia="en-US"/>
              </w:rPr>
            </w:pPr>
            <w:r>
              <w:rPr>
                <w:b/>
                <w:sz w:val="24"/>
                <w:szCs w:val="24"/>
                <w:lang w:val="hr-HR" w:eastAsia="en-US"/>
              </w:rPr>
              <w:t>33.700,14</w:t>
            </w:r>
          </w:p>
        </w:tc>
      </w:tr>
      <w:tr w:rsidR="00A9207D" w:rsidTr="00A9207D">
        <w:tc>
          <w:tcPr>
            <w:tcW w:w="3969" w:type="dxa"/>
            <w:tcBorders>
              <w:top w:val="single" w:sz="4" w:space="0" w:color="auto"/>
              <w:left w:val="single" w:sz="4" w:space="0" w:color="auto"/>
              <w:bottom w:val="single" w:sz="4" w:space="0" w:color="auto"/>
              <w:right w:val="single" w:sz="4" w:space="0" w:color="auto"/>
            </w:tcBorders>
          </w:tcPr>
          <w:p w:rsidR="00A9207D" w:rsidRDefault="00A9207D">
            <w:pPr>
              <w:spacing w:line="276" w:lineRule="auto"/>
              <w:rPr>
                <w:b/>
                <w:sz w:val="24"/>
                <w:szCs w:val="24"/>
                <w:lang w:val="hr-HR" w:eastAsia="en-US"/>
              </w:rPr>
            </w:pPr>
            <w:r>
              <w:rPr>
                <w:b/>
                <w:sz w:val="24"/>
                <w:szCs w:val="24"/>
                <w:lang w:val="hr-HR" w:eastAsia="en-US"/>
              </w:rPr>
              <w:t>SVEUKUPNO REZERVACIJA</w:t>
            </w:r>
          </w:p>
        </w:tc>
        <w:tc>
          <w:tcPr>
            <w:tcW w:w="3261" w:type="dxa"/>
            <w:tcBorders>
              <w:top w:val="single" w:sz="4" w:space="0" w:color="auto"/>
              <w:left w:val="single" w:sz="4" w:space="0" w:color="auto"/>
              <w:bottom w:val="single" w:sz="4" w:space="0" w:color="auto"/>
              <w:right w:val="single" w:sz="4" w:space="0" w:color="auto"/>
            </w:tcBorders>
          </w:tcPr>
          <w:p w:rsidR="00A9207D" w:rsidRPr="00A9207D" w:rsidRDefault="00A9207D">
            <w:pPr>
              <w:spacing w:line="276" w:lineRule="auto"/>
              <w:jc w:val="right"/>
              <w:rPr>
                <w:b/>
                <w:sz w:val="24"/>
                <w:szCs w:val="24"/>
                <w:lang w:val="hr-HR" w:eastAsia="en-US"/>
              </w:rPr>
            </w:pPr>
            <w:r w:rsidRPr="00A9207D">
              <w:rPr>
                <w:b/>
                <w:sz w:val="24"/>
                <w:szCs w:val="24"/>
                <w:lang w:val="hr-HR" w:eastAsia="en-US"/>
              </w:rPr>
              <w:t>222.610,31</w:t>
            </w:r>
          </w:p>
        </w:tc>
      </w:tr>
      <w:tr w:rsidR="00A9207D" w:rsidTr="00A9207D">
        <w:tc>
          <w:tcPr>
            <w:tcW w:w="3969" w:type="dxa"/>
            <w:tcBorders>
              <w:top w:val="single" w:sz="4" w:space="0" w:color="auto"/>
              <w:left w:val="single" w:sz="4" w:space="0" w:color="auto"/>
              <w:bottom w:val="single" w:sz="4" w:space="0" w:color="auto"/>
              <w:right w:val="single" w:sz="4" w:space="0" w:color="auto"/>
            </w:tcBorders>
          </w:tcPr>
          <w:p w:rsidR="00A9207D" w:rsidRDefault="00A9207D">
            <w:pPr>
              <w:spacing w:line="276" w:lineRule="auto"/>
              <w:rPr>
                <w:b/>
                <w:sz w:val="24"/>
                <w:szCs w:val="24"/>
                <w:lang w:val="hr-HR" w:eastAsia="en-US"/>
              </w:rPr>
            </w:pPr>
          </w:p>
        </w:tc>
        <w:tc>
          <w:tcPr>
            <w:tcW w:w="3261" w:type="dxa"/>
            <w:tcBorders>
              <w:top w:val="single" w:sz="4" w:space="0" w:color="auto"/>
              <w:left w:val="single" w:sz="4" w:space="0" w:color="auto"/>
              <w:bottom w:val="single" w:sz="4" w:space="0" w:color="auto"/>
              <w:right w:val="single" w:sz="4" w:space="0" w:color="auto"/>
            </w:tcBorders>
          </w:tcPr>
          <w:p w:rsidR="00A9207D" w:rsidRDefault="00A9207D">
            <w:pPr>
              <w:spacing w:line="276" w:lineRule="auto"/>
              <w:jc w:val="right"/>
              <w:rPr>
                <w:b/>
                <w:lang w:val="hr-HR" w:eastAsia="en-US"/>
              </w:rPr>
            </w:pPr>
          </w:p>
        </w:tc>
      </w:tr>
      <w:tr w:rsidR="00A9207D" w:rsidTr="00A9207D">
        <w:tc>
          <w:tcPr>
            <w:tcW w:w="3969"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rPr>
                <w:b/>
                <w:sz w:val="24"/>
                <w:szCs w:val="24"/>
                <w:lang w:val="hr-HR" w:eastAsia="en-US"/>
              </w:rPr>
            </w:pPr>
            <w:r>
              <w:rPr>
                <w:b/>
                <w:sz w:val="24"/>
                <w:szCs w:val="24"/>
                <w:lang w:val="hr-HR" w:eastAsia="en-US"/>
              </w:rPr>
              <w:t>Raspoloživa sredstva za završnu diobu nakon rezervacija</w:t>
            </w:r>
          </w:p>
        </w:tc>
        <w:tc>
          <w:tcPr>
            <w:tcW w:w="3261" w:type="dxa"/>
            <w:tcBorders>
              <w:top w:val="single" w:sz="4" w:space="0" w:color="auto"/>
              <w:left w:val="single" w:sz="4" w:space="0" w:color="auto"/>
              <w:bottom w:val="single" w:sz="4" w:space="0" w:color="auto"/>
              <w:right w:val="single" w:sz="4" w:space="0" w:color="auto"/>
            </w:tcBorders>
            <w:hideMark/>
          </w:tcPr>
          <w:p w:rsidR="00A9207D" w:rsidRDefault="00A9207D">
            <w:pPr>
              <w:spacing w:line="276" w:lineRule="auto"/>
              <w:jc w:val="right"/>
              <w:rPr>
                <w:b/>
                <w:sz w:val="24"/>
                <w:szCs w:val="24"/>
                <w:lang w:val="hr-HR" w:eastAsia="en-US"/>
              </w:rPr>
            </w:pPr>
            <w:r>
              <w:rPr>
                <w:b/>
                <w:sz w:val="24"/>
                <w:szCs w:val="24"/>
                <w:lang w:val="hr-HR" w:eastAsia="en-US"/>
              </w:rPr>
              <w:t xml:space="preserve">65.743,43 </w:t>
            </w:r>
          </w:p>
        </w:tc>
      </w:tr>
    </w:tbl>
    <w:p w:rsidR="00A9207D" w:rsidRDefault="00A9207D" w:rsidP="00A9207D">
      <w:pPr>
        <w:pStyle w:val="Tijeloteksta"/>
      </w:pPr>
    </w:p>
    <w:p w:rsidR="00A9207D" w:rsidRDefault="00A9207D" w:rsidP="00A9207D">
      <w:pPr>
        <w:rPr>
          <w:lang w:val="hr-HR"/>
        </w:rPr>
      </w:pPr>
      <w:r>
        <w:t xml:space="preserve">                                                    </w:t>
      </w:r>
    </w:p>
    <w:p w:rsidR="00A9207D" w:rsidRDefault="00A9207D" w:rsidP="00A9207D">
      <w:pPr>
        <w:rPr>
          <w:sz w:val="24"/>
          <w:szCs w:val="24"/>
          <w:lang w:val="hr-HR"/>
        </w:rPr>
      </w:pPr>
      <w:r>
        <w:rPr>
          <w:sz w:val="24"/>
          <w:szCs w:val="24"/>
          <w:lang w:val="hr-HR"/>
        </w:rPr>
        <w:t>II   ZAVRŠNA BILANCA</w:t>
      </w:r>
    </w:p>
    <w:p w:rsidR="00A9207D" w:rsidRDefault="00A9207D" w:rsidP="00A9207D">
      <w:pPr>
        <w:pStyle w:val="Tijeloteksta"/>
      </w:pPr>
      <w:r>
        <w:t xml:space="preserve"> </w:t>
      </w:r>
    </w:p>
    <w:p w:rsidR="00A9207D" w:rsidRDefault="00A9207D" w:rsidP="00A9207D">
      <w:pPr>
        <w:pStyle w:val="Tijeloteksta"/>
        <w:jc w:val="both"/>
        <w:rPr>
          <w:b/>
        </w:rPr>
      </w:pPr>
      <w:r>
        <w:rPr>
          <w:b/>
        </w:rPr>
        <w:t>A/ IMOVINA</w:t>
      </w:r>
    </w:p>
    <w:p w:rsidR="00A9207D" w:rsidRDefault="00A9207D" w:rsidP="00A9207D">
      <w:pPr>
        <w:pStyle w:val="Tijeloteksta"/>
        <w:jc w:val="both"/>
      </w:pPr>
    </w:p>
    <w:tbl>
      <w:tblPr>
        <w:tblStyle w:val="Reetkatablice"/>
        <w:tblW w:w="0" w:type="auto"/>
        <w:tblInd w:w="0" w:type="dxa"/>
        <w:tblLook w:val="04A0" w:firstRow="1" w:lastRow="0" w:firstColumn="1" w:lastColumn="0" w:noHBand="0" w:noVBand="1"/>
      </w:tblPr>
      <w:tblGrid>
        <w:gridCol w:w="3432"/>
        <w:gridCol w:w="2676"/>
        <w:gridCol w:w="3180"/>
      </w:tblGrid>
      <w:tr w:rsidR="00A9207D" w:rsidTr="00A9207D">
        <w:tc>
          <w:tcPr>
            <w:tcW w:w="3432"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Vrsta imovine</w:t>
            </w:r>
          </w:p>
        </w:tc>
        <w:tc>
          <w:tcPr>
            <w:tcW w:w="2676"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ind w:left="48"/>
              <w:jc w:val="both"/>
              <w:rPr>
                <w:lang w:eastAsia="en-US"/>
              </w:rPr>
            </w:pPr>
            <w:r>
              <w:rPr>
                <w:lang w:eastAsia="en-US"/>
              </w:rPr>
              <w:t xml:space="preserve">Početno stanje (SV) </w:t>
            </w:r>
          </w:p>
        </w:tc>
        <w:tc>
          <w:tcPr>
            <w:tcW w:w="318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ind w:left="576"/>
              <w:jc w:val="both"/>
              <w:rPr>
                <w:lang w:eastAsia="en-US"/>
              </w:rPr>
            </w:pPr>
            <w:r>
              <w:rPr>
                <w:lang w:eastAsia="en-US"/>
              </w:rPr>
              <w:t xml:space="preserve">Završno stanje </w:t>
            </w:r>
          </w:p>
        </w:tc>
      </w:tr>
      <w:tr w:rsidR="00A9207D" w:rsidTr="00A9207D">
        <w:tc>
          <w:tcPr>
            <w:tcW w:w="3432"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Oprema i vozila</w:t>
            </w:r>
          </w:p>
        </w:tc>
        <w:tc>
          <w:tcPr>
            <w:tcW w:w="2676"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53.910</w:t>
            </w:r>
          </w:p>
        </w:tc>
        <w:tc>
          <w:tcPr>
            <w:tcW w:w="318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0</w:t>
            </w:r>
          </w:p>
        </w:tc>
      </w:tr>
      <w:tr w:rsidR="00A9207D" w:rsidTr="00A9207D">
        <w:tc>
          <w:tcPr>
            <w:tcW w:w="3432"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Dionice</w:t>
            </w:r>
          </w:p>
        </w:tc>
        <w:tc>
          <w:tcPr>
            <w:tcW w:w="2676"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27.400</w:t>
            </w:r>
          </w:p>
        </w:tc>
        <w:tc>
          <w:tcPr>
            <w:tcW w:w="318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0</w:t>
            </w:r>
          </w:p>
        </w:tc>
      </w:tr>
      <w:tr w:rsidR="00A9207D" w:rsidTr="00A9207D">
        <w:tc>
          <w:tcPr>
            <w:tcW w:w="3432"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Potraživanja-zajmovi </w:t>
            </w:r>
          </w:p>
        </w:tc>
        <w:tc>
          <w:tcPr>
            <w:tcW w:w="2676"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563.505</w:t>
            </w:r>
          </w:p>
        </w:tc>
        <w:tc>
          <w:tcPr>
            <w:tcW w:w="318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529.805</w:t>
            </w:r>
          </w:p>
        </w:tc>
      </w:tr>
      <w:tr w:rsidR="00A9207D" w:rsidTr="00A9207D">
        <w:tc>
          <w:tcPr>
            <w:tcW w:w="3432"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ostala potraživanja</w:t>
            </w:r>
          </w:p>
        </w:tc>
        <w:tc>
          <w:tcPr>
            <w:tcW w:w="2676"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15.930</w:t>
            </w:r>
          </w:p>
        </w:tc>
        <w:tc>
          <w:tcPr>
            <w:tcW w:w="318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15.930</w:t>
            </w:r>
          </w:p>
        </w:tc>
      </w:tr>
      <w:tr w:rsidR="00A9207D" w:rsidTr="00A9207D">
        <w:tc>
          <w:tcPr>
            <w:tcW w:w="3432"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Novčana sredstava</w:t>
            </w:r>
          </w:p>
        </w:tc>
        <w:tc>
          <w:tcPr>
            <w:tcW w:w="2676"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0</w:t>
            </w:r>
          </w:p>
        </w:tc>
        <w:tc>
          <w:tcPr>
            <w:tcW w:w="318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388.831 </w:t>
            </w:r>
          </w:p>
        </w:tc>
      </w:tr>
    </w:tbl>
    <w:p w:rsidR="00A9207D" w:rsidRDefault="00A9207D" w:rsidP="00A9207D">
      <w:pPr>
        <w:pStyle w:val="Tijeloteksta"/>
        <w:jc w:val="both"/>
      </w:pPr>
      <w:r>
        <w:t xml:space="preserve">  </w:t>
      </w:r>
    </w:p>
    <w:p w:rsidR="00A9207D" w:rsidRDefault="00A9207D" w:rsidP="00A9207D">
      <w:pPr>
        <w:pStyle w:val="Tijeloteksta"/>
        <w:jc w:val="both"/>
      </w:pPr>
    </w:p>
    <w:p w:rsidR="00A9207D" w:rsidRDefault="00A9207D" w:rsidP="00A9207D">
      <w:pPr>
        <w:pStyle w:val="Tijeloteksta"/>
        <w:jc w:val="both"/>
      </w:pPr>
      <w:r>
        <w:t>Strukturu ostvarene stečajne mase od unovčenja pokretnina, potraživanja i drugih prava:</w:t>
      </w:r>
    </w:p>
    <w:p w:rsidR="00A9207D" w:rsidRDefault="00A9207D" w:rsidP="00A9207D">
      <w:pPr>
        <w:pStyle w:val="Tijeloteksta"/>
        <w:jc w:val="both"/>
      </w:pPr>
    </w:p>
    <w:tbl>
      <w:tblPr>
        <w:tblStyle w:val="Reetkatablice"/>
        <w:tblW w:w="0" w:type="auto"/>
        <w:tblInd w:w="0" w:type="dxa"/>
        <w:tblLook w:val="04A0" w:firstRow="1" w:lastRow="0" w:firstColumn="1" w:lastColumn="0" w:noHBand="0" w:noVBand="1"/>
      </w:tblPr>
      <w:tblGrid>
        <w:gridCol w:w="2820"/>
        <w:gridCol w:w="3360"/>
        <w:gridCol w:w="3108"/>
      </w:tblGrid>
      <w:tr w:rsidR="00A9207D" w:rsidTr="00A9207D">
        <w:tc>
          <w:tcPr>
            <w:tcW w:w="282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Vrsta imovine</w:t>
            </w:r>
          </w:p>
        </w:tc>
        <w:tc>
          <w:tcPr>
            <w:tcW w:w="336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ind w:left="660"/>
              <w:jc w:val="both"/>
              <w:rPr>
                <w:lang w:eastAsia="en-US"/>
              </w:rPr>
            </w:pPr>
            <w:r>
              <w:rPr>
                <w:lang w:eastAsia="en-US"/>
              </w:rPr>
              <w:t xml:space="preserve">procijenjena vrijednost ili nominalna vrijednost </w:t>
            </w:r>
          </w:p>
        </w:tc>
        <w:tc>
          <w:tcPr>
            <w:tcW w:w="3108"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Ostvarena</w:t>
            </w:r>
          </w:p>
          <w:p w:rsidR="00A9207D" w:rsidRDefault="00A9207D">
            <w:pPr>
              <w:pStyle w:val="Tijeloteksta"/>
              <w:jc w:val="both"/>
              <w:rPr>
                <w:lang w:eastAsia="en-US"/>
              </w:rPr>
            </w:pPr>
            <w:proofErr w:type="spellStart"/>
            <w:r>
              <w:rPr>
                <w:lang w:eastAsia="en-US"/>
              </w:rPr>
              <w:t>kupovnina</w:t>
            </w:r>
            <w:proofErr w:type="spellEnd"/>
            <w:r>
              <w:rPr>
                <w:lang w:eastAsia="en-US"/>
              </w:rPr>
              <w:t xml:space="preserve">/naplata   </w:t>
            </w:r>
          </w:p>
        </w:tc>
      </w:tr>
      <w:tr w:rsidR="00A9207D" w:rsidTr="00A9207D">
        <w:tc>
          <w:tcPr>
            <w:tcW w:w="282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u w:val="single"/>
                <w:lang w:eastAsia="en-US"/>
              </w:rPr>
            </w:pPr>
            <w:r>
              <w:rPr>
                <w:lang w:eastAsia="en-US"/>
              </w:rPr>
              <w:t xml:space="preserve">    pokretnine ( strojevi, vozila i dr. oprema)   </w:t>
            </w:r>
          </w:p>
        </w:tc>
        <w:tc>
          <w:tcPr>
            <w:tcW w:w="336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u w:val="single"/>
                <w:lang w:eastAsia="en-US"/>
              </w:rPr>
            </w:pPr>
            <w:r>
              <w:rPr>
                <w:u w:val="single"/>
                <w:lang w:eastAsia="en-US"/>
              </w:rPr>
              <w:t xml:space="preserve">          340.600,00 + PDV =</w:t>
            </w:r>
          </w:p>
          <w:p w:rsidR="00A9207D" w:rsidRDefault="00A9207D">
            <w:pPr>
              <w:pStyle w:val="Tijeloteksta"/>
              <w:jc w:val="both"/>
              <w:rPr>
                <w:u w:val="single"/>
                <w:lang w:eastAsia="en-US"/>
              </w:rPr>
            </w:pPr>
            <w:r>
              <w:rPr>
                <w:u w:val="single"/>
                <w:lang w:eastAsia="en-US"/>
              </w:rPr>
              <w:t xml:space="preserve">              425.750,00</w:t>
            </w:r>
          </w:p>
        </w:tc>
        <w:tc>
          <w:tcPr>
            <w:tcW w:w="3108"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u w:val="single"/>
                <w:lang w:eastAsia="en-US"/>
              </w:rPr>
            </w:pPr>
            <w:r>
              <w:rPr>
                <w:u w:val="single"/>
                <w:lang w:eastAsia="en-US"/>
              </w:rPr>
              <w:t xml:space="preserve">          299.145,94</w:t>
            </w:r>
          </w:p>
        </w:tc>
      </w:tr>
      <w:tr w:rsidR="00A9207D" w:rsidTr="00A9207D">
        <w:tc>
          <w:tcPr>
            <w:tcW w:w="282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Potraživanja – zajam </w:t>
            </w:r>
          </w:p>
        </w:tc>
        <w:tc>
          <w:tcPr>
            <w:tcW w:w="336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u w:val="single"/>
                <w:lang w:eastAsia="en-US"/>
              </w:rPr>
            </w:pPr>
            <w:r>
              <w:rPr>
                <w:u w:val="single"/>
                <w:lang w:eastAsia="en-US"/>
              </w:rPr>
              <w:t xml:space="preserve">              563.505,36</w:t>
            </w:r>
          </w:p>
        </w:tc>
        <w:tc>
          <w:tcPr>
            <w:tcW w:w="3108"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u w:val="single"/>
                <w:lang w:eastAsia="en-US"/>
              </w:rPr>
            </w:pPr>
            <w:r>
              <w:rPr>
                <w:u w:val="single"/>
                <w:lang w:eastAsia="en-US"/>
              </w:rPr>
              <w:t xml:space="preserve">            33.700,14</w:t>
            </w:r>
          </w:p>
        </w:tc>
      </w:tr>
      <w:tr w:rsidR="00A9207D" w:rsidTr="00A9207D">
        <w:tc>
          <w:tcPr>
            <w:tcW w:w="282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Udjeli / dionice</w:t>
            </w:r>
          </w:p>
        </w:tc>
        <w:tc>
          <w:tcPr>
            <w:tcW w:w="336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u w:val="single"/>
                <w:lang w:eastAsia="en-US"/>
              </w:rPr>
            </w:pPr>
            <w:r>
              <w:rPr>
                <w:u w:val="single"/>
                <w:lang w:eastAsia="en-US"/>
              </w:rPr>
              <w:t xml:space="preserve">                27.400,00</w:t>
            </w:r>
          </w:p>
        </w:tc>
        <w:tc>
          <w:tcPr>
            <w:tcW w:w="3108"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u w:val="single"/>
                <w:lang w:eastAsia="en-US"/>
              </w:rPr>
            </w:pPr>
            <w:r>
              <w:rPr>
                <w:u w:val="single"/>
                <w:lang w:eastAsia="en-US"/>
              </w:rPr>
              <w:t xml:space="preserve">            44.633,10</w:t>
            </w:r>
          </w:p>
        </w:tc>
      </w:tr>
    </w:tbl>
    <w:p w:rsidR="00A9207D" w:rsidRDefault="00A9207D" w:rsidP="00A9207D">
      <w:pPr>
        <w:pStyle w:val="Tijeloteksta"/>
        <w:jc w:val="both"/>
      </w:pPr>
      <w:r>
        <w:rPr>
          <w:u w:val="single"/>
        </w:rPr>
        <w:t xml:space="preserve">                                                    </w:t>
      </w:r>
    </w:p>
    <w:p w:rsidR="00A9207D" w:rsidRDefault="00A9207D" w:rsidP="00A9207D">
      <w:pPr>
        <w:pStyle w:val="Tijeloteksta"/>
        <w:jc w:val="both"/>
      </w:pPr>
      <w:r>
        <w:t xml:space="preserve">Struktura ukupno ostvarenih primitaka u korist stečajne mase: </w:t>
      </w:r>
    </w:p>
    <w:p w:rsidR="00A9207D" w:rsidRDefault="00A9207D" w:rsidP="00A9207D">
      <w:pPr>
        <w:pStyle w:val="Tijeloteksta"/>
        <w:jc w:val="both"/>
      </w:pPr>
    </w:p>
    <w:tbl>
      <w:tblPr>
        <w:tblW w:w="0" w:type="auto"/>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3096"/>
        <w:gridCol w:w="3144"/>
      </w:tblGrid>
      <w:tr w:rsidR="00A9207D" w:rsidTr="00A9207D">
        <w:trPr>
          <w:trHeight w:val="660"/>
        </w:trPr>
        <w:tc>
          <w:tcPr>
            <w:tcW w:w="2856"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Ukupno primici u korist</w:t>
            </w:r>
          </w:p>
          <w:p w:rsidR="00A9207D" w:rsidRDefault="00A9207D">
            <w:pPr>
              <w:pStyle w:val="Tijeloteksta"/>
              <w:spacing w:line="276" w:lineRule="auto"/>
              <w:jc w:val="both"/>
              <w:rPr>
                <w:lang w:eastAsia="en-US"/>
              </w:rPr>
            </w:pPr>
            <w:r>
              <w:rPr>
                <w:lang w:eastAsia="en-US"/>
              </w:rPr>
              <w:t>Stečajne mase (konsolidirano)</w:t>
            </w:r>
          </w:p>
        </w:tc>
        <w:tc>
          <w:tcPr>
            <w:tcW w:w="3096"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Primici od zatečene imovine</w:t>
            </w:r>
          </w:p>
        </w:tc>
        <w:tc>
          <w:tcPr>
            <w:tcW w:w="3144"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Primici iz poslovnih aktivnosti - zakup</w:t>
            </w:r>
          </w:p>
        </w:tc>
      </w:tr>
      <w:tr w:rsidR="00A9207D" w:rsidTr="00A9207D">
        <w:trPr>
          <w:trHeight w:val="660"/>
        </w:trPr>
        <w:tc>
          <w:tcPr>
            <w:tcW w:w="2856"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 xml:space="preserve">        388.831,80</w:t>
            </w:r>
          </w:p>
        </w:tc>
        <w:tc>
          <w:tcPr>
            <w:tcW w:w="3096"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 xml:space="preserve">          382.057,61</w:t>
            </w:r>
          </w:p>
        </w:tc>
        <w:tc>
          <w:tcPr>
            <w:tcW w:w="3144"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 xml:space="preserve">        6.774,19</w:t>
            </w:r>
          </w:p>
        </w:tc>
      </w:tr>
    </w:tbl>
    <w:p w:rsidR="00A9207D" w:rsidRDefault="00A9207D" w:rsidP="00A9207D">
      <w:pPr>
        <w:pStyle w:val="Tijeloteksta"/>
        <w:jc w:val="both"/>
      </w:pPr>
    </w:p>
    <w:p w:rsidR="00A9207D" w:rsidRDefault="00A9207D" w:rsidP="00A9207D">
      <w:pPr>
        <w:pStyle w:val="Tijeloteksta"/>
        <w:jc w:val="both"/>
      </w:pPr>
      <w:r>
        <w:t xml:space="preserve"> </w:t>
      </w:r>
    </w:p>
    <w:p w:rsidR="00A9207D" w:rsidRDefault="00A9207D" w:rsidP="00A9207D">
      <w:pPr>
        <w:pStyle w:val="Tijeloteksta"/>
        <w:jc w:val="both"/>
        <w:rPr>
          <w:b/>
        </w:rPr>
      </w:pPr>
      <w:r>
        <w:rPr>
          <w:b/>
        </w:rPr>
        <w:t xml:space="preserve">* Pregled neunovčene imovine: </w:t>
      </w:r>
    </w:p>
    <w:p w:rsidR="00A9207D" w:rsidRDefault="00A9207D" w:rsidP="00A9207D">
      <w:pPr>
        <w:pStyle w:val="Tijeloteksta"/>
        <w:jc w:val="both"/>
      </w:pPr>
    </w:p>
    <w:p w:rsidR="00A9207D" w:rsidRDefault="00A9207D" w:rsidP="00A9207D">
      <w:pPr>
        <w:pStyle w:val="Tijeloteksta"/>
        <w:jc w:val="both"/>
      </w:pPr>
      <w:r>
        <w:t>Parnica koje stečajni dužnik vodi radi naplate ili ostvarenja drugih prava koja ulaze u stečajnu masu:</w:t>
      </w:r>
    </w:p>
    <w:p w:rsidR="00A9207D" w:rsidRDefault="00A9207D" w:rsidP="00A9207D">
      <w:pPr>
        <w:pStyle w:val="Tijeloteksta"/>
        <w:jc w:val="both"/>
      </w:pPr>
    </w:p>
    <w:tbl>
      <w:tblPr>
        <w:tblStyle w:val="Reetkatablice"/>
        <w:tblW w:w="9416" w:type="dxa"/>
        <w:tblInd w:w="0" w:type="dxa"/>
        <w:tblLook w:val="04A0" w:firstRow="1" w:lastRow="0" w:firstColumn="1" w:lastColumn="0" w:noHBand="0" w:noVBand="1"/>
      </w:tblPr>
      <w:tblGrid>
        <w:gridCol w:w="2013"/>
        <w:gridCol w:w="1296"/>
        <w:gridCol w:w="471"/>
        <w:gridCol w:w="1377"/>
        <w:gridCol w:w="1478"/>
        <w:gridCol w:w="2781"/>
      </w:tblGrid>
      <w:tr w:rsidR="00A9207D" w:rsidTr="00A9207D">
        <w:tc>
          <w:tcPr>
            <w:tcW w:w="2054"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Tuženik/tužitelj</w:t>
            </w:r>
          </w:p>
        </w:tc>
        <w:tc>
          <w:tcPr>
            <w:tcW w:w="945" w:type="dxa"/>
            <w:tcBorders>
              <w:top w:val="single" w:sz="4" w:space="0" w:color="auto"/>
              <w:left w:val="single" w:sz="4" w:space="0" w:color="auto"/>
              <w:bottom w:val="single" w:sz="4" w:space="0" w:color="auto"/>
              <w:right w:val="nil"/>
            </w:tcBorders>
            <w:hideMark/>
          </w:tcPr>
          <w:p w:rsidR="00A9207D" w:rsidRDefault="00A9207D">
            <w:pPr>
              <w:pStyle w:val="Tijeloteksta"/>
              <w:jc w:val="both"/>
              <w:rPr>
                <w:lang w:eastAsia="en-US"/>
              </w:rPr>
            </w:pPr>
            <w:proofErr w:type="spellStart"/>
            <w:r>
              <w:rPr>
                <w:lang w:eastAsia="en-US"/>
              </w:rPr>
              <w:t>v.ps</w:t>
            </w:r>
            <w:proofErr w:type="spellEnd"/>
            <w:r>
              <w:rPr>
                <w:lang w:eastAsia="en-US"/>
              </w:rPr>
              <w:t xml:space="preserve">.  </w:t>
            </w:r>
          </w:p>
        </w:tc>
        <w:tc>
          <w:tcPr>
            <w:tcW w:w="507" w:type="dxa"/>
            <w:tcBorders>
              <w:top w:val="single" w:sz="4" w:space="0" w:color="auto"/>
              <w:left w:val="single" w:sz="4" w:space="0" w:color="auto"/>
              <w:bottom w:val="single" w:sz="4" w:space="0" w:color="auto"/>
              <w:right w:val="nil"/>
            </w:tcBorders>
          </w:tcPr>
          <w:p w:rsidR="00A9207D" w:rsidRDefault="00A9207D">
            <w:pPr>
              <w:pStyle w:val="Tijeloteksta"/>
              <w:jc w:val="both"/>
              <w:rPr>
                <w:lang w:eastAsia="en-US"/>
              </w:rPr>
            </w:pPr>
          </w:p>
        </w:tc>
        <w:tc>
          <w:tcPr>
            <w:tcW w:w="1403" w:type="dxa"/>
            <w:tcBorders>
              <w:top w:val="single" w:sz="4" w:space="0" w:color="auto"/>
              <w:left w:val="nil"/>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Nadležni sud </w:t>
            </w:r>
          </w:p>
        </w:tc>
        <w:tc>
          <w:tcPr>
            <w:tcW w:w="1512" w:type="dxa"/>
            <w:tcBorders>
              <w:top w:val="single" w:sz="4" w:space="0" w:color="auto"/>
              <w:left w:val="nil"/>
              <w:bottom w:val="single" w:sz="4" w:space="0" w:color="auto"/>
              <w:right w:val="single" w:sz="4" w:space="0" w:color="auto"/>
            </w:tcBorders>
            <w:hideMark/>
          </w:tcPr>
          <w:p w:rsidR="00A9207D" w:rsidRDefault="00A9207D">
            <w:pPr>
              <w:pStyle w:val="Tijeloteksta"/>
              <w:jc w:val="both"/>
              <w:rPr>
                <w:lang w:eastAsia="en-US"/>
              </w:rPr>
            </w:pPr>
            <w:r>
              <w:rPr>
                <w:lang w:eastAsia="en-US"/>
              </w:rPr>
              <w:t>Broj predmeta</w:t>
            </w:r>
          </w:p>
        </w:tc>
        <w:tc>
          <w:tcPr>
            <w:tcW w:w="2995" w:type="dxa"/>
            <w:tcBorders>
              <w:top w:val="single" w:sz="4" w:space="0" w:color="auto"/>
              <w:left w:val="nil"/>
              <w:bottom w:val="single" w:sz="4" w:space="0" w:color="auto"/>
              <w:right w:val="single" w:sz="4" w:space="0" w:color="auto"/>
            </w:tcBorders>
            <w:hideMark/>
          </w:tcPr>
          <w:p w:rsidR="00A9207D" w:rsidRDefault="00A9207D">
            <w:pPr>
              <w:pStyle w:val="Tijeloteksta"/>
              <w:jc w:val="both"/>
              <w:rPr>
                <w:lang w:eastAsia="en-US"/>
              </w:rPr>
            </w:pPr>
            <w:r>
              <w:rPr>
                <w:lang w:eastAsia="en-US"/>
              </w:rPr>
              <w:t>Stanje predmeta</w:t>
            </w:r>
          </w:p>
        </w:tc>
      </w:tr>
      <w:tr w:rsidR="00A9207D" w:rsidTr="00A9207D">
        <w:tc>
          <w:tcPr>
            <w:tcW w:w="2054"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Stjepan </w:t>
            </w:r>
            <w:proofErr w:type="spellStart"/>
            <w:r>
              <w:rPr>
                <w:lang w:eastAsia="en-US"/>
              </w:rPr>
              <w:t>Vuljanković</w:t>
            </w:r>
            <w:proofErr w:type="spellEnd"/>
          </w:p>
        </w:tc>
        <w:tc>
          <w:tcPr>
            <w:tcW w:w="945" w:type="dxa"/>
            <w:tcBorders>
              <w:top w:val="single" w:sz="4" w:space="0" w:color="auto"/>
              <w:left w:val="single" w:sz="4" w:space="0" w:color="auto"/>
              <w:bottom w:val="single" w:sz="4" w:space="0" w:color="auto"/>
              <w:right w:val="nil"/>
            </w:tcBorders>
            <w:hideMark/>
          </w:tcPr>
          <w:p w:rsidR="00A9207D" w:rsidRDefault="00A9207D">
            <w:pPr>
              <w:pStyle w:val="Tijeloteksta"/>
              <w:jc w:val="both"/>
              <w:rPr>
                <w:lang w:eastAsia="en-US"/>
              </w:rPr>
            </w:pPr>
            <w:r>
              <w:rPr>
                <w:lang w:eastAsia="en-US"/>
              </w:rPr>
              <w:t>563.505,36</w:t>
            </w:r>
          </w:p>
        </w:tc>
        <w:tc>
          <w:tcPr>
            <w:tcW w:w="507" w:type="dxa"/>
            <w:tcBorders>
              <w:top w:val="single" w:sz="4" w:space="0" w:color="auto"/>
              <w:left w:val="single" w:sz="4" w:space="0" w:color="auto"/>
              <w:bottom w:val="single" w:sz="4" w:space="0" w:color="auto"/>
              <w:right w:val="nil"/>
            </w:tcBorders>
          </w:tcPr>
          <w:p w:rsidR="00A9207D" w:rsidRDefault="00A9207D">
            <w:pPr>
              <w:pStyle w:val="Tijeloteksta"/>
              <w:jc w:val="both"/>
              <w:rPr>
                <w:lang w:eastAsia="en-US"/>
              </w:rPr>
            </w:pPr>
          </w:p>
        </w:tc>
        <w:tc>
          <w:tcPr>
            <w:tcW w:w="1403" w:type="dxa"/>
            <w:tcBorders>
              <w:top w:val="single" w:sz="4" w:space="0" w:color="auto"/>
              <w:left w:val="nil"/>
              <w:bottom w:val="single" w:sz="4" w:space="0" w:color="auto"/>
              <w:right w:val="single" w:sz="4" w:space="0" w:color="auto"/>
            </w:tcBorders>
            <w:hideMark/>
          </w:tcPr>
          <w:p w:rsidR="00A9207D" w:rsidRDefault="00A9207D">
            <w:pPr>
              <w:pStyle w:val="Tijeloteksta"/>
              <w:jc w:val="both"/>
              <w:rPr>
                <w:lang w:eastAsia="en-US"/>
              </w:rPr>
            </w:pPr>
            <w:r>
              <w:rPr>
                <w:lang w:eastAsia="en-US"/>
              </w:rPr>
              <w:t>Trgovački sud u Zagrebu</w:t>
            </w:r>
          </w:p>
        </w:tc>
        <w:tc>
          <w:tcPr>
            <w:tcW w:w="1512" w:type="dxa"/>
            <w:tcBorders>
              <w:top w:val="single" w:sz="4" w:space="0" w:color="auto"/>
              <w:left w:val="nil"/>
              <w:bottom w:val="single" w:sz="4" w:space="0" w:color="auto"/>
              <w:right w:val="single" w:sz="4" w:space="0" w:color="auto"/>
            </w:tcBorders>
            <w:hideMark/>
          </w:tcPr>
          <w:p w:rsidR="00A9207D" w:rsidRDefault="00A9207D">
            <w:pPr>
              <w:pStyle w:val="Tijeloteksta"/>
              <w:jc w:val="both"/>
              <w:rPr>
                <w:lang w:eastAsia="en-US"/>
              </w:rPr>
            </w:pPr>
            <w:r>
              <w:rPr>
                <w:lang w:eastAsia="en-US"/>
              </w:rPr>
              <w:t>P-3096/2015</w:t>
            </w:r>
          </w:p>
        </w:tc>
        <w:tc>
          <w:tcPr>
            <w:tcW w:w="2995" w:type="dxa"/>
            <w:tcBorders>
              <w:top w:val="single" w:sz="4" w:space="0" w:color="auto"/>
              <w:left w:val="nil"/>
              <w:bottom w:val="single" w:sz="4" w:space="0" w:color="auto"/>
              <w:right w:val="single" w:sz="4" w:space="0" w:color="auto"/>
            </w:tcBorders>
            <w:hideMark/>
          </w:tcPr>
          <w:p w:rsidR="00A9207D" w:rsidRDefault="00A9207D">
            <w:pPr>
              <w:pStyle w:val="Tijeloteksta"/>
              <w:jc w:val="both"/>
              <w:rPr>
                <w:lang w:eastAsia="en-US"/>
              </w:rPr>
            </w:pPr>
            <w:r>
              <w:rPr>
                <w:lang w:eastAsia="en-US"/>
              </w:rPr>
              <w:t>Predložena privremena mjera zabrane opterećenja i otuđenja nekretnina. Tuženik odgovorio na tužbu. Nakon tužbe izjavljen prijeboj u visini tražbine tuženika po diobi I višeg isplatnog reda od 33.700,14 kn</w:t>
            </w:r>
          </w:p>
        </w:tc>
      </w:tr>
    </w:tbl>
    <w:p w:rsidR="00A9207D" w:rsidRDefault="00A9207D" w:rsidP="00A9207D">
      <w:pPr>
        <w:pStyle w:val="Tijeloteksta"/>
        <w:jc w:val="both"/>
      </w:pPr>
    </w:p>
    <w:p w:rsidR="00A9207D" w:rsidRDefault="00A9207D" w:rsidP="00A9207D">
      <w:pPr>
        <w:pStyle w:val="Tijeloteksta"/>
        <w:jc w:val="both"/>
        <w:rPr>
          <w:b/>
        </w:rPr>
      </w:pPr>
      <w:r>
        <w:rPr>
          <w:b/>
        </w:rPr>
        <w:t>B/ OBAVEZE</w:t>
      </w:r>
    </w:p>
    <w:p w:rsidR="00A9207D" w:rsidRDefault="00A9207D" w:rsidP="00A9207D">
      <w:pPr>
        <w:pStyle w:val="Tijeloteksta"/>
        <w:jc w:val="both"/>
      </w:pPr>
    </w:p>
    <w:tbl>
      <w:tblPr>
        <w:tblStyle w:val="Reetkatablice"/>
        <w:tblW w:w="0" w:type="auto"/>
        <w:tblInd w:w="0" w:type="dxa"/>
        <w:tblLook w:val="04A0" w:firstRow="1" w:lastRow="0" w:firstColumn="1" w:lastColumn="0" w:noHBand="0" w:noVBand="1"/>
      </w:tblPr>
      <w:tblGrid>
        <w:gridCol w:w="2642"/>
        <w:gridCol w:w="1834"/>
        <w:gridCol w:w="1579"/>
        <w:gridCol w:w="1283"/>
        <w:gridCol w:w="1950"/>
      </w:tblGrid>
      <w:tr w:rsidR="00A9207D" w:rsidTr="00A9207D">
        <w:tc>
          <w:tcPr>
            <w:tcW w:w="2642"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Isplatni red</w:t>
            </w:r>
          </w:p>
        </w:tc>
        <w:tc>
          <w:tcPr>
            <w:tcW w:w="1834"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ind w:left="48"/>
              <w:jc w:val="both"/>
              <w:rPr>
                <w:lang w:eastAsia="en-US"/>
              </w:rPr>
            </w:pPr>
            <w:r>
              <w:rPr>
                <w:lang w:eastAsia="en-US"/>
              </w:rPr>
              <w:t xml:space="preserve">Početno stanje  </w:t>
            </w:r>
          </w:p>
        </w:tc>
        <w:tc>
          <w:tcPr>
            <w:tcW w:w="1579"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promjena </w:t>
            </w:r>
          </w:p>
        </w:tc>
        <w:tc>
          <w:tcPr>
            <w:tcW w:w="1283"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Isplaćeno/ za isplatu</w:t>
            </w:r>
          </w:p>
        </w:tc>
        <w:tc>
          <w:tcPr>
            <w:tcW w:w="195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Završno stanje</w:t>
            </w:r>
          </w:p>
        </w:tc>
      </w:tr>
      <w:tr w:rsidR="00A9207D" w:rsidTr="00A9207D">
        <w:tc>
          <w:tcPr>
            <w:tcW w:w="2642"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I viši isplatni red</w:t>
            </w:r>
          </w:p>
        </w:tc>
        <w:tc>
          <w:tcPr>
            <w:tcW w:w="1834"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ind w:left="48"/>
              <w:jc w:val="both"/>
              <w:rPr>
                <w:lang w:eastAsia="en-US"/>
              </w:rPr>
            </w:pPr>
            <w:r>
              <w:rPr>
                <w:lang w:eastAsia="en-US"/>
              </w:rPr>
              <w:t xml:space="preserve">        42.773,54</w:t>
            </w:r>
          </w:p>
        </w:tc>
        <w:tc>
          <w:tcPr>
            <w:tcW w:w="1579"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proofErr w:type="spellStart"/>
            <w:r>
              <w:rPr>
                <w:lang w:eastAsia="en-US"/>
              </w:rPr>
              <w:t>Djel</w:t>
            </w:r>
            <w:proofErr w:type="spellEnd"/>
            <w:r>
              <w:rPr>
                <w:lang w:eastAsia="en-US"/>
              </w:rPr>
              <w:t>. dioba</w:t>
            </w:r>
          </w:p>
        </w:tc>
        <w:tc>
          <w:tcPr>
            <w:tcW w:w="1283"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42.773,54</w:t>
            </w:r>
          </w:p>
        </w:tc>
        <w:tc>
          <w:tcPr>
            <w:tcW w:w="195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0,00</w:t>
            </w:r>
          </w:p>
        </w:tc>
      </w:tr>
      <w:tr w:rsidR="00A9207D" w:rsidTr="00A9207D">
        <w:tc>
          <w:tcPr>
            <w:tcW w:w="2642"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II viši isplatni red</w:t>
            </w:r>
          </w:p>
        </w:tc>
        <w:tc>
          <w:tcPr>
            <w:tcW w:w="1834"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ind w:left="48"/>
              <w:jc w:val="both"/>
              <w:rPr>
                <w:lang w:eastAsia="en-US"/>
              </w:rPr>
            </w:pPr>
            <w:r>
              <w:rPr>
                <w:lang w:eastAsia="en-US"/>
              </w:rPr>
              <w:t xml:space="preserve">      964.347,31</w:t>
            </w:r>
          </w:p>
        </w:tc>
        <w:tc>
          <w:tcPr>
            <w:tcW w:w="1579"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proofErr w:type="spellStart"/>
            <w:r>
              <w:rPr>
                <w:lang w:eastAsia="en-US"/>
              </w:rPr>
              <w:t>Završ</w:t>
            </w:r>
            <w:proofErr w:type="spellEnd"/>
            <w:r>
              <w:rPr>
                <w:lang w:eastAsia="en-US"/>
              </w:rPr>
              <w:t>. dioba</w:t>
            </w:r>
          </w:p>
        </w:tc>
        <w:tc>
          <w:tcPr>
            <w:tcW w:w="1283"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65.743,43</w:t>
            </w:r>
          </w:p>
        </w:tc>
        <w:tc>
          <w:tcPr>
            <w:tcW w:w="195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jc w:val="both"/>
              <w:rPr>
                <w:lang w:eastAsia="en-US"/>
              </w:rPr>
            </w:pPr>
            <w:r>
              <w:rPr>
                <w:lang w:eastAsia="en-US"/>
              </w:rPr>
              <w:t xml:space="preserve">       898.603,88</w:t>
            </w:r>
          </w:p>
        </w:tc>
      </w:tr>
    </w:tbl>
    <w:p w:rsidR="00A9207D" w:rsidRDefault="00A9207D" w:rsidP="00A9207D">
      <w:pPr>
        <w:pStyle w:val="Tijeloteksta"/>
        <w:jc w:val="both"/>
      </w:pPr>
    </w:p>
    <w:p w:rsidR="00A9207D" w:rsidRDefault="00A9207D" w:rsidP="00A9207D">
      <w:pPr>
        <w:pStyle w:val="Tijeloteksta"/>
        <w:jc w:val="both"/>
      </w:pPr>
    </w:p>
    <w:p w:rsidR="00A9207D" w:rsidRDefault="00A9207D" w:rsidP="00A9207D">
      <w:pPr>
        <w:pStyle w:val="Tijeloteksta"/>
        <w:jc w:val="both"/>
      </w:pPr>
      <w:r>
        <w:t>III  ZAVRŠNO IZVJEŠĆE STEČAJNOG UPRAVITELJA</w:t>
      </w:r>
    </w:p>
    <w:p w:rsidR="00A9207D" w:rsidRDefault="00A9207D" w:rsidP="00A9207D">
      <w:pPr>
        <w:pStyle w:val="Tijeloteksta"/>
        <w:jc w:val="both"/>
      </w:pPr>
    </w:p>
    <w:p w:rsidR="00A9207D" w:rsidRDefault="00A9207D" w:rsidP="00A9207D">
      <w:pPr>
        <w:rPr>
          <w:sz w:val="24"/>
          <w:lang w:val="hr-HR"/>
        </w:rPr>
      </w:pPr>
      <w:r>
        <w:rPr>
          <w:sz w:val="24"/>
          <w:lang w:val="hr-HR"/>
        </w:rPr>
        <w:t>Stečajni postupak nad  dužnikom VULJNKOVIĆ d.o.o. otvoren je dana 24.2.2015.g. U stečajnom postupku utvrđene su tražbine I višeg isplatnog reda u iznosu od 42.773,54 kn, te tražbine  II višeg isplatnog reda u visini od 964.347,31 kn. U stečajnom postupku, Republika Hrvatska Min</w:t>
      </w:r>
      <w:r w:rsidR="005A52A8">
        <w:rPr>
          <w:sz w:val="24"/>
          <w:lang w:val="hr-HR"/>
        </w:rPr>
        <w:t>i</w:t>
      </w:r>
      <w:r>
        <w:rPr>
          <w:sz w:val="24"/>
          <w:lang w:val="hr-HR"/>
        </w:rPr>
        <w:t xml:space="preserve">starstvo financija obavijestilo je o postojanju </w:t>
      </w:r>
      <w:proofErr w:type="spellStart"/>
      <w:r>
        <w:rPr>
          <w:sz w:val="24"/>
          <w:lang w:val="hr-HR"/>
        </w:rPr>
        <w:t>razlučnog</w:t>
      </w:r>
      <w:proofErr w:type="spellEnd"/>
      <w:r>
        <w:rPr>
          <w:sz w:val="24"/>
          <w:lang w:val="hr-HR"/>
        </w:rPr>
        <w:t xml:space="preserve"> prava na pokretninama, no u odnosu na </w:t>
      </w:r>
      <w:proofErr w:type="spellStart"/>
      <w:r>
        <w:rPr>
          <w:sz w:val="24"/>
          <w:lang w:val="hr-HR"/>
        </w:rPr>
        <w:t>pljenidbeni</w:t>
      </w:r>
      <w:proofErr w:type="spellEnd"/>
      <w:r>
        <w:rPr>
          <w:sz w:val="24"/>
          <w:lang w:val="hr-HR"/>
        </w:rPr>
        <w:t xml:space="preserve"> popis na koji se pozvao </w:t>
      </w:r>
      <w:proofErr w:type="spellStart"/>
      <w:r>
        <w:rPr>
          <w:sz w:val="24"/>
          <w:lang w:val="hr-HR"/>
        </w:rPr>
        <w:t>razlučni</w:t>
      </w:r>
      <w:proofErr w:type="spellEnd"/>
      <w:r>
        <w:rPr>
          <w:sz w:val="24"/>
          <w:lang w:val="hr-HR"/>
        </w:rPr>
        <w:t xml:space="preserve"> vjerovnik, imovina uglavnom nije zatečena, odnosno iz rješenja porezne uprave na kojima se temelji </w:t>
      </w:r>
      <w:proofErr w:type="spellStart"/>
      <w:r>
        <w:rPr>
          <w:sz w:val="24"/>
          <w:lang w:val="hr-HR"/>
        </w:rPr>
        <w:t>pljenidbeni</w:t>
      </w:r>
      <w:proofErr w:type="spellEnd"/>
      <w:r>
        <w:rPr>
          <w:sz w:val="24"/>
          <w:lang w:val="hr-HR"/>
        </w:rPr>
        <w:t xml:space="preserve"> popis i stanju izvršenih plaćanja nakon istog, proizlazi da se radi o tražbini vjerovnika koja je namirena. Nastavno na navedeno, o istom je obaviješten zastupnik po zakonu </w:t>
      </w:r>
      <w:proofErr w:type="spellStart"/>
      <w:r>
        <w:rPr>
          <w:sz w:val="24"/>
          <w:lang w:val="hr-HR"/>
        </w:rPr>
        <w:t>razlučnog</w:t>
      </w:r>
      <w:proofErr w:type="spellEnd"/>
      <w:r>
        <w:rPr>
          <w:sz w:val="24"/>
          <w:lang w:val="hr-HR"/>
        </w:rPr>
        <w:t xml:space="preserve"> vjerovnika na održanom ispitnom i izvještajnom ročištu, te tijekom stečajnog postupka. Također je </w:t>
      </w:r>
      <w:proofErr w:type="spellStart"/>
      <w:r>
        <w:rPr>
          <w:sz w:val="24"/>
          <w:lang w:val="hr-HR"/>
        </w:rPr>
        <w:t>razlučnom</w:t>
      </w:r>
      <w:proofErr w:type="spellEnd"/>
      <w:r>
        <w:rPr>
          <w:sz w:val="24"/>
          <w:lang w:val="hr-HR"/>
        </w:rPr>
        <w:t xml:space="preserve"> vjerovniku dio tražbine u visini do 803.063,21 kn osporen zbog apsolutne zastare, a koji iznos osporene tražbine isti nije utužio.</w:t>
      </w:r>
    </w:p>
    <w:p w:rsidR="00A9207D" w:rsidRDefault="00A9207D" w:rsidP="00A9207D">
      <w:pPr>
        <w:rPr>
          <w:sz w:val="24"/>
          <w:lang w:val="hr-HR"/>
        </w:rPr>
      </w:pPr>
    </w:p>
    <w:p w:rsidR="00A9207D" w:rsidRDefault="00A9207D" w:rsidP="00A9207D">
      <w:pPr>
        <w:rPr>
          <w:sz w:val="24"/>
          <w:lang w:val="hr-HR"/>
        </w:rPr>
      </w:pPr>
      <w:r>
        <w:rPr>
          <w:sz w:val="24"/>
          <w:lang w:val="hr-HR"/>
        </w:rPr>
        <w:t xml:space="preserve">Tijekom stečajnog postupka preuzeta je imovina stečajnog dužnika, zatvoren je stari i otvoren novi račun kod Privredne banke Zagreb d.d. broj HR1823400091190023065.  </w:t>
      </w:r>
    </w:p>
    <w:p w:rsidR="00A9207D" w:rsidRDefault="00A9207D" w:rsidP="00A9207D">
      <w:pPr>
        <w:rPr>
          <w:sz w:val="24"/>
          <w:lang w:val="hr-HR"/>
        </w:rPr>
      </w:pPr>
    </w:p>
    <w:p w:rsidR="00A9207D" w:rsidRDefault="00A9207D" w:rsidP="00A9207D">
      <w:pPr>
        <w:rPr>
          <w:sz w:val="24"/>
          <w:lang w:val="hr-HR"/>
        </w:rPr>
      </w:pPr>
      <w:r>
        <w:rPr>
          <w:sz w:val="24"/>
          <w:lang w:val="hr-HR"/>
        </w:rPr>
        <w:t xml:space="preserve">Do unovčenja imovine, koju su činili poljoprivredni strojevi i vozilo, ista je dana u zakup, te je s osnova zakupa ostvaren priliv sredstava u visini od 6.774,19 kn. </w:t>
      </w:r>
    </w:p>
    <w:p w:rsidR="00A9207D" w:rsidRDefault="00A9207D" w:rsidP="00A9207D">
      <w:pPr>
        <w:rPr>
          <w:sz w:val="24"/>
          <w:lang w:val="hr-HR"/>
        </w:rPr>
      </w:pPr>
    </w:p>
    <w:p w:rsidR="00A9207D" w:rsidRDefault="00A9207D" w:rsidP="00A9207D">
      <w:pPr>
        <w:rPr>
          <w:sz w:val="24"/>
          <w:lang w:val="hr-HR"/>
        </w:rPr>
      </w:pPr>
      <w:r>
        <w:rPr>
          <w:sz w:val="24"/>
          <w:lang w:val="hr-HR"/>
        </w:rPr>
        <w:t xml:space="preserve">S obzirom na prirodu imovine, činjenicu da dužnik nije imao potrebnih sredstava, a sukladno i skupštinskoj odluci o načinu unovčenja, objave oglasa o prodaji imovine oglašavani su na sudačkoj mreži i stranicama HGK. Imovina, pokretnine, procijenjene su po vještaku u sveukupnom iznosu od 340.600,00 kn + PDV ( sa PDV-om 425.750,00 kn), te su iste temeljem prikupljenih najpovoljnijih ponuda unovčene za iznos od 299.145,94 kn (sa PDV-om) što čini 70,26% procijenjene vrijednosti. Navedena oprema prema stanju poslovnih knjiga imala je amortiziranu vrijednost od 53.910 kn, te je postignuta </w:t>
      </w:r>
      <w:proofErr w:type="spellStart"/>
      <w:r>
        <w:rPr>
          <w:sz w:val="24"/>
          <w:lang w:val="hr-HR"/>
        </w:rPr>
        <w:t>kupovnina</w:t>
      </w:r>
      <w:proofErr w:type="spellEnd"/>
      <w:r>
        <w:rPr>
          <w:sz w:val="24"/>
          <w:lang w:val="hr-HR"/>
        </w:rPr>
        <w:t xml:space="preserve"> višestruko veća od knjigovodstvene vrijednosti.</w:t>
      </w:r>
    </w:p>
    <w:p w:rsidR="00A9207D" w:rsidRDefault="00A9207D" w:rsidP="00A9207D">
      <w:pPr>
        <w:rPr>
          <w:sz w:val="24"/>
          <w:lang w:val="hr-HR"/>
        </w:rPr>
      </w:pPr>
    </w:p>
    <w:p w:rsidR="00A9207D" w:rsidRDefault="00A9207D" w:rsidP="00A9207D">
      <w:pPr>
        <w:rPr>
          <w:sz w:val="24"/>
          <w:lang w:val="hr-HR"/>
        </w:rPr>
      </w:pPr>
      <w:r>
        <w:rPr>
          <w:sz w:val="24"/>
          <w:lang w:val="hr-HR"/>
        </w:rPr>
        <w:t xml:space="preserve">Tijekom stečajnog postupka utvrđeno je da stečajni dužnik ima u vlasništvu 1235 dionica oznake ZABA-R-A čija nominalna vrijednost iznosi 27.400 kn. Iste su prodane putem brokera na Zagrebačkoj burzi, te je postignuta </w:t>
      </w:r>
      <w:proofErr w:type="spellStart"/>
      <w:r>
        <w:rPr>
          <w:sz w:val="24"/>
          <w:lang w:val="hr-HR"/>
        </w:rPr>
        <w:t>kupovnina</w:t>
      </w:r>
      <w:proofErr w:type="spellEnd"/>
      <w:r>
        <w:rPr>
          <w:sz w:val="24"/>
          <w:lang w:val="hr-HR"/>
        </w:rPr>
        <w:t xml:space="preserve"> od 44.633,10 kn uz naplaćenu dividendu u daljnjem iznosu od 4.578,43 kn.</w:t>
      </w:r>
    </w:p>
    <w:p w:rsidR="00A9207D" w:rsidRDefault="00A9207D" w:rsidP="00A9207D">
      <w:pPr>
        <w:rPr>
          <w:sz w:val="24"/>
          <w:lang w:val="hr-HR"/>
        </w:rPr>
      </w:pPr>
    </w:p>
    <w:p w:rsidR="00A9207D" w:rsidRDefault="00A9207D" w:rsidP="00A9207D">
      <w:pPr>
        <w:rPr>
          <w:sz w:val="24"/>
          <w:lang w:val="hr-HR"/>
        </w:rPr>
      </w:pPr>
      <w:r>
        <w:rPr>
          <w:sz w:val="24"/>
          <w:lang w:val="hr-HR"/>
        </w:rPr>
        <w:t xml:space="preserve">Ostala potraživanja odnose se na </w:t>
      </w:r>
      <w:proofErr w:type="spellStart"/>
      <w:r>
        <w:rPr>
          <w:sz w:val="24"/>
          <w:lang w:val="hr-HR"/>
        </w:rPr>
        <w:t>predporez</w:t>
      </w:r>
      <w:proofErr w:type="spellEnd"/>
      <w:r>
        <w:rPr>
          <w:sz w:val="24"/>
          <w:lang w:val="hr-HR"/>
        </w:rPr>
        <w:t xml:space="preserve"> koji se ne može odbiti, te analitički ne </w:t>
      </w:r>
      <w:proofErr w:type="spellStart"/>
      <w:r>
        <w:rPr>
          <w:sz w:val="24"/>
          <w:lang w:val="hr-HR"/>
        </w:rPr>
        <w:t>indentificirana</w:t>
      </w:r>
      <w:proofErr w:type="spellEnd"/>
      <w:r>
        <w:rPr>
          <w:sz w:val="24"/>
          <w:lang w:val="hr-HR"/>
        </w:rPr>
        <w:t xml:space="preserve"> potraživanja u nominalnom iznosu od 355,00 kn koja su nenaplativa.</w:t>
      </w:r>
    </w:p>
    <w:p w:rsidR="00A9207D" w:rsidRDefault="00A9207D" w:rsidP="00A9207D">
      <w:pPr>
        <w:rPr>
          <w:sz w:val="24"/>
          <w:lang w:val="hr-HR"/>
        </w:rPr>
      </w:pPr>
    </w:p>
    <w:p w:rsidR="00A9207D" w:rsidRDefault="00A9207D" w:rsidP="00A9207D">
      <w:pPr>
        <w:rPr>
          <w:sz w:val="24"/>
          <w:lang w:val="hr-HR"/>
        </w:rPr>
      </w:pPr>
      <w:r>
        <w:rPr>
          <w:sz w:val="24"/>
          <w:lang w:val="hr-HR"/>
        </w:rPr>
        <w:t xml:space="preserve">Potraživanja po zajmovima odnose se na knjigovodstveno evidentirana potraživanja od članova društva temeljem odluke direktora ujedno i vlasnika društva gosp. Stjepan </w:t>
      </w:r>
      <w:proofErr w:type="spellStart"/>
      <w:r>
        <w:rPr>
          <w:sz w:val="24"/>
          <w:lang w:val="hr-HR"/>
        </w:rPr>
        <w:t>Vuljanković</w:t>
      </w:r>
      <w:proofErr w:type="spellEnd"/>
      <w:r>
        <w:rPr>
          <w:sz w:val="24"/>
          <w:lang w:val="hr-HR"/>
        </w:rPr>
        <w:t xml:space="preserve">, te je predmetno potraživanje utuženo i za isto je u tijeku parnica na Trgovačkom sudu u Zagrebu pod poslovnim brojem P- 3096/2015. U predmetnom postupku u tužbi je podnesen i prijedlog privremene mjere zabrane opterećenja i otuđenja nekretnina u vlasništvu tuženika Stjepana </w:t>
      </w:r>
      <w:proofErr w:type="spellStart"/>
      <w:r>
        <w:rPr>
          <w:sz w:val="24"/>
          <w:lang w:val="hr-HR"/>
        </w:rPr>
        <w:t>Vuljankovića</w:t>
      </w:r>
      <w:proofErr w:type="spellEnd"/>
      <w:r>
        <w:rPr>
          <w:sz w:val="24"/>
          <w:lang w:val="hr-HR"/>
        </w:rPr>
        <w:t xml:space="preserve">. </w:t>
      </w:r>
    </w:p>
    <w:p w:rsidR="00A9207D" w:rsidRDefault="00A9207D" w:rsidP="00A9207D">
      <w:pPr>
        <w:rPr>
          <w:sz w:val="24"/>
          <w:lang w:val="hr-HR"/>
        </w:rPr>
      </w:pPr>
    </w:p>
    <w:p w:rsidR="00A9207D" w:rsidRDefault="00A9207D" w:rsidP="00A9207D">
      <w:pPr>
        <w:rPr>
          <w:sz w:val="24"/>
          <w:lang w:val="hr-HR"/>
        </w:rPr>
      </w:pPr>
      <w:r>
        <w:rPr>
          <w:sz w:val="24"/>
          <w:lang w:val="hr-HR"/>
        </w:rPr>
        <w:t xml:space="preserve">Tijekom stečajnog postupka, uz suglasnost stečajnog suca, izvršena je djelomična dioba kojom su namirivane ukupne utvrđene tražbine I višeg isplatnog reda u bruto iznosu, te je nakon izvršene uplate obveznih poreza i doprinosa, za neto tražbinu, uz pribavljanje suglasnosti prema odredbama ZOR-a, izjavljen prijeboj tražbine s osnova utuženog zajma sa neto obavezom po osnovi pravomoćnog diobenog popisa od tuženika Stjepana </w:t>
      </w:r>
      <w:proofErr w:type="spellStart"/>
      <w:r>
        <w:rPr>
          <w:sz w:val="24"/>
          <w:lang w:val="hr-HR"/>
        </w:rPr>
        <w:t>Vuljankovića</w:t>
      </w:r>
      <w:proofErr w:type="spellEnd"/>
      <w:r>
        <w:rPr>
          <w:sz w:val="24"/>
          <w:lang w:val="hr-HR"/>
        </w:rPr>
        <w:t xml:space="preserve"> u visini od 33.700,14 kn, a što je imalo za posljedicu i djelomičnu naplatu utuženog zajma. No, odvjetnica tuženika Stjepana </w:t>
      </w:r>
      <w:proofErr w:type="spellStart"/>
      <w:r>
        <w:rPr>
          <w:sz w:val="24"/>
          <w:lang w:val="hr-HR"/>
        </w:rPr>
        <w:t>Vuljankovića</w:t>
      </w:r>
      <w:proofErr w:type="spellEnd"/>
      <w:r>
        <w:rPr>
          <w:sz w:val="24"/>
          <w:lang w:val="hr-HR"/>
        </w:rPr>
        <w:t xml:space="preserve"> je svojim dopisom koji je zaprimljen dana 23.3.2016.g. osporila pravo na prijeboj s obzirom na osporavanje tražbine stečajnog dužnika po zajmu. Slijedom navedenog do okončanja sudskog spora osnovano je predmetni iznos stavljen u prijeboj rezervirati.</w:t>
      </w:r>
    </w:p>
    <w:p w:rsidR="00A9207D" w:rsidRDefault="00A9207D" w:rsidP="00A9207D">
      <w:pPr>
        <w:rPr>
          <w:sz w:val="24"/>
          <w:lang w:val="hr-HR"/>
        </w:rPr>
      </w:pPr>
    </w:p>
    <w:p w:rsidR="00A9207D" w:rsidRDefault="00A9207D" w:rsidP="00A9207D">
      <w:pPr>
        <w:rPr>
          <w:sz w:val="24"/>
          <w:lang w:val="hr-HR"/>
        </w:rPr>
      </w:pPr>
      <w:r>
        <w:rPr>
          <w:sz w:val="24"/>
          <w:lang w:val="hr-HR"/>
        </w:rPr>
        <w:t>U odnosu na ostvarene troškove postupka, neophodno je napomenuti da se imovina nalazila dislocirana u Vrbovcu što je zahtijevalo obilazak iste, pokazivanje kupcima, te i predaju kupcima. Navedeno je povezano sa angažiranjem suradnika stečajnog upravitelja i plaćenim troškovima kojim su obuhvaćeni i predmetni troškovi puta suradnika.</w:t>
      </w:r>
    </w:p>
    <w:p w:rsidR="00A9207D" w:rsidRDefault="00A9207D" w:rsidP="00A9207D">
      <w:pPr>
        <w:rPr>
          <w:sz w:val="24"/>
          <w:lang w:val="hr-HR"/>
        </w:rPr>
      </w:pPr>
    </w:p>
    <w:p w:rsidR="00A9207D" w:rsidRDefault="00A9207D" w:rsidP="00A9207D">
      <w:pPr>
        <w:rPr>
          <w:sz w:val="24"/>
          <w:lang w:val="hr-HR"/>
        </w:rPr>
      </w:pPr>
      <w:r>
        <w:rPr>
          <w:sz w:val="24"/>
          <w:lang w:val="hr-HR"/>
        </w:rPr>
        <w:t>U preostalom dijelu ostvareni su troškovi knjigovodstva koje je bilo nužno angažirati zbog porezno-pravnih obaveza koje proizlaze iz članka 154. Stečajnog zakona, dok je angažiranje vještaka bilo nužno radi određivanja početne vrijednosti imovine po stručnoj osobi. Trošak Narodnih novina vezan je uz objavu djelomične diobe, a ostali troškovi čine razne materijalne troškove izrade žiga, poštarine i druge sitne troškove. Troškovi sudskih pristojbi i odvjetnika vezani su uz pokrenutu parnicu P-3096/2015 na Trgovačkom sudu u Zagrebu.</w:t>
      </w:r>
    </w:p>
    <w:p w:rsidR="00A9207D" w:rsidRDefault="00A9207D" w:rsidP="00A9207D">
      <w:pPr>
        <w:rPr>
          <w:sz w:val="24"/>
          <w:lang w:val="hr-HR"/>
        </w:rPr>
      </w:pPr>
    </w:p>
    <w:p w:rsidR="00A9207D" w:rsidRDefault="00A9207D" w:rsidP="00A9207D">
      <w:pPr>
        <w:rPr>
          <w:sz w:val="24"/>
          <w:lang w:val="hr-HR"/>
        </w:rPr>
      </w:pPr>
      <w:r>
        <w:rPr>
          <w:sz w:val="24"/>
          <w:lang w:val="hr-HR"/>
        </w:rPr>
        <w:t>Rezervacije za nepodmirene troškove i očekivane troškove zastupanja stečajne mase obuhvaćaju bruto nagradu stečajnog upravitelja prema rješenju stečajnog suca, sredstva za povrat predujma Republici Hrvatskoj za pokretanje opisane parnice u iznosu od 45.000,00 kn ( pravo vjerovnika na povrat sukladno članku 39a SZ-a), te daljnje predvidive troškove parnice koji će uslijediti u visini od 45.000,00 kn tijekom zastupanja stečajne mase. Također je izvršena rezervacija za predvidive daljnje troškove do zaključenja stečajnog postupka i brisanja pravne osobe iz registra za knjigovodstvene usluge u trajanju od daljnjih 4 mjeseca ( 5.000,00 kn), te predvidive troškove bankarske naknade za održavanje računa i platni promet kao i za ostale sitne materijalne troškove vezane uz obavezu zatvaranja računa, odjave iz statistike, poštarine i sitnih materijalnih troškova ureda do brisanja stečajnog dužnika u sveukupnom iznosu od 500,00 kn.</w:t>
      </w:r>
    </w:p>
    <w:p w:rsidR="00A9207D" w:rsidRDefault="00A9207D" w:rsidP="00A9207D">
      <w:pPr>
        <w:rPr>
          <w:sz w:val="24"/>
          <w:lang w:val="hr-HR"/>
        </w:rPr>
      </w:pPr>
    </w:p>
    <w:p w:rsidR="00A9207D" w:rsidRDefault="00A9207D" w:rsidP="00A9207D">
      <w:pPr>
        <w:rPr>
          <w:sz w:val="24"/>
          <w:lang w:val="hr-HR"/>
        </w:rPr>
      </w:pPr>
      <w:r>
        <w:rPr>
          <w:sz w:val="24"/>
          <w:lang w:val="hr-HR"/>
        </w:rPr>
        <w:t>Troškovi nagrade stečajnog upravitelja određeni su rješenjem suda, pri čemu su troškovi nagrade do stupanja nove Uredbe obračunati sukladno odredbi članka 4. i 19. Uredbe ( NN 189/2003) , a nakon stupanja na snagu nove Uredbe o načinu obračuna nagrade ( NN 71/2015) sukladno odredbi članka 7. Uredbe u bruto iznosu koji također tereti obvezni doprinos za zdravstveno osiguranje koji se obračunava na bruto nagradu u visini od 15% određene bruto nagrade.</w:t>
      </w:r>
    </w:p>
    <w:p w:rsidR="00A9207D" w:rsidRDefault="00A9207D" w:rsidP="00A9207D">
      <w:pPr>
        <w:rPr>
          <w:sz w:val="24"/>
          <w:lang w:val="hr-HR"/>
        </w:rPr>
      </w:pPr>
    </w:p>
    <w:p w:rsidR="00A9207D" w:rsidRDefault="00A9207D" w:rsidP="00A9207D">
      <w:pPr>
        <w:rPr>
          <w:sz w:val="24"/>
          <w:lang w:val="hr-HR"/>
        </w:rPr>
      </w:pPr>
      <w:r>
        <w:rPr>
          <w:sz w:val="24"/>
          <w:lang w:val="hr-HR"/>
        </w:rPr>
        <w:t>Temeljem podnesenog završnog računa, te stanja neunovčene imovine, proizlaze slobodna novčana sredstava za završnu diobu u iznosu od 65.743,43 kn,</w:t>
      </w:r>
      <w:r w:rsidR="005A52A8">
        <w:rPr>
          <w:sz w:val="24"/>
          <w:lang w:val="hr-HR"/>
        </w:rPr>
        <w:t xml:space="preserve"> što čini namirenje od 6,8174</w:t>
      </w:r>
      <w:r>
        <w:rPr>
          <w:sz w:val="24"/>
          <w:lang w:val="hr-HR"/>
        </w:rPr>
        <w:t xml:space="preserve">   % utvrđenih tražbina II višeg isplatnog reda. U odnosu na neunovčenu imovinu, osnovano je ostala potraživanja otpisati jer se radi o </w:t>
      </w:r>
      <w:proofErr w:type="spellStart"/>
      <w:r>
        <w:rPr>
          <w:sz w:val="24"/>
          <w:lang w:val="hr-HR"/>
        </w:rPr>
        <w:t>predporezu</w:t>
      </w:r>
      <w:proofErr w:type="spellEnd"/>
      <w:r>
        <w:rPr>
          <w:sz w:val="24"/>
          <w:lang w:val="hr-HR"/>
        </w:rPr>
        <w:t xml:space="preserve"> koji se ne može odbiti i nepoznatim potraživanjima bez dostupne analitike koja čine malu stavku za koju ne bi bilo niti ekonomično pokretati postupke. Slijedom navedenog jedinu neunovčenu imovinu čine potraživanja po zajmovima članovima društva koji nakon djelomičnog namirenja iznose</w:t>
      </w:r>
      <w:r w:rsidR="005A52A8">
        <w:rPr>
          <w:sz w:val="24"/>
          <w:lang w:val="hr-HR"/>
        </w:rPr>
        <w:t xml:space="preserve"> ( osporeno pravo na prijeboj)</w:t>
      </w:r>
      <w:r>
        <w:rPr>
          <w:sz w:val="24"/>
          <w:lang w:val="hr-HR"/>
        </w:rPr>
        <w:t xml:space="preserve"> 529.805,22 kn i predmet su parnice koja će biti nastavljena u ime stečajne mase. </w:t>
      </w:r>
    </w:p>
    <w:p w:rsidR="00A9207D" w:rsidRDefault="00A9207D" w:rsidP="00A9207D">
      <w:pPr>
        <w:pStyle w:val="Tijeloteksta"/>
        <w:ind w:left="360"/>
        <w:jc w:val="both"/>
      </w:pPr>
    </w:p>
    <w:p w:rsidR="00A9207D" w:rsidRDefault="00A9207D" w:rsidP="00A9207D">
      <w:pPr>
        <w:pStyle w:val="Tijeloteksta"/>
        <w:ind w:left="360"/>
        <w:jc w:val="both"/>
      </w:pPr>
    </w:p>
    <w:p w:rsidR="00A9207D" w:rsidRDefault="00A9207D" w:rsidP="00A9207D">
      <w:pPr>
        <w:pStyle w:val="Tijeloteksta"/>
        <w:jc w:val="both"/>
      </w:pPr>
      <w:r>
        <w:t>IV   ZAVRŠNI DIOBENI POPIS</w:t>
      </w:r>
    </w:p>
    <w:p w:rsidR="00A9207D" w:rsidRDefault="00A9207D" w:rsidP="00A9207D">
      <w:pPr>
        <w:pStyle w:val="Tijeloteksta"/>
        <w:ind w:left="360"/>
        <w:jc w:val="both"/>
      </w:pPr>
      <w:r>
        <w:t xml:space="preserve">  ( po isplatnim redovima)</w:t>
      </w:r>
    </w:p>
    <w:p w:rsidR="00A9207D" w:rsidRDefault="00A9207D" w:rsidP="00A9207D">
      <w:pPr>
        <w:pStyle w:val="Tijeloteksta"/>
        <w:ind w:left="360"/>
        <w:jc w:val="both"/>
      </w:pPr>
    </w:p>
    <w:p w:rsidR="00A9207D" w:rsidRDefault="00A9207D" w:rsidP="00A9207D">
      <w:pPr>
        <w:pStyle w:val="Tijeloteksta"/>
        <w:ind w:left="360"/>
        <w:jc w:val="both"/>
      </w:pPr>
      <w:r>
        <w:t>II VIŠI ISPLATNI RED</w:t>
      </w:r>
    </w:p>
    <w:tbl>
      <w:tblPr>
        <w:tblW w:w="0" w:type="auto"/>
        <w:tblInd w:w="95" w:type="dxa"/>
        <w:tblBorders>
          <w:top w:val="single" w:sz="4" w:space="0" w:color="auto"/>
        </w:tblBorders>
        <w:tblLook w:val="04A0" w:firstRow="1" w:lastRow="0" w:firstColumn="1" w:lastColumn="0" w:noHBand="0" w:noVBand="1"/>
      </w:tblPr>
      <w:tblGrid>
        <w:gridCol w:w="2760"/>
        <w:gridCol w:w="3348"/>
        <w:gridCol w:w="2568"/>
      </w:tblGrid>
      <w:tr w:rsidR="00A9207D" w:rsidTr="00A9207D">
        <w:trPr>
          <w:trHeight w:val="100"/>
        </w:trPr>
        <w:tc>
          <w:tcPr>
            <w:tcW w:w="276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Podaci o vjerovniku</w:t>
            </w:r>
          </w:p>
        </w:tc>
        <w:tc>
          <w:tcPr>
            <w:tcW w:w="3348"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Iznos utvrđene tražbine</w:t>
            </w:r>
          </w:p>
        </w:tc>
        <w:tc>
          <w:tcPr>
            <w:tcW w:w="2568"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Iznos za namirenje u završnoj diobi</w:t>
            </w:r>
          </w:p>
        </w:tc>
      </w:tr>
      <w:tr w:rsidR="00A9207D" w:rsidTr="00A9207D">
        <w:trPr>
          <w:trHeight w:val="100"/>
        </w:trPr>
        <w:tc>
          <w:tcPr>
            <w:tcW w:w="276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Republika Hrvatska Ministarstvo pravosuđa</w:t>
            </w:r>
          </w:p>
        </w:tc>
        <w:tc>
          <w:tcPr>
            <w:tcW w:w="3348"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 xml:space="preserve">                               7.500,00</w:t>
            </w:r>
          </w:p>
        </w:tc>
        <w:tc>
          <w:tcPr>
            <w:tcW w:w="2568"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 xml:space="preserve">                   </w:t>
            </w:r>
            <w:r w:rsidR="005A52A8">
              <w:rPr>
                <w:lang w:eastAsia="en-US"/>
              </w:rPr>
              <w:t xml:space="preserve">  511,31</w:t>
            </w:r>
          </w:p>
        </w:tc>
      </w:tr>
      <w:tr w:rsidR="00A9207D" w:rsidTr="00A9207D">
        <w:trPr>
          <w:trHeight w:val="100"/>
        </w:trPr>
        <w:tc>
          <w:tcPr>
            <w:tcW w:w="276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proofErr w:type="spellStart"/>
            <w:r>
              <w:rPr>
                <w:lang w:eastAsia="en-US"/>
              </w:rPr>
              <w:t>Messis</w:t>
            </w:r>
            <w:proofErr w:type="spellEnd"/>
            <w:r>
              <w:rPr>
                <w:lang w:eastAsia="en-US"/>
              </w:rPr>
              <w:t xml:space="preserve"> d.o.o. Zagreb</w:t>
            </w:r>
          </w:p>
          <w:p w:rsidR="00A9207D" w:rsidRDefault="00A9207D">
            <w:pPr>
              <w:pStyle w:val="Tijeloteksta"/>
              <w:spacing w:line="276" w:lineRule="auto"/>
              <w:jc w:val="both"/>
              <w:rPr>
                <w:lang w:eastAsia="en-US"/>
              </w:rPr>
            </w:pPr>
            <w:r>
              <w:rPr>
                <w:lang w:eastAsia="en-US"/>
              </w:rPr>
              <w:t>OIB 32087382809</w:t>
            </w:r>
          </w:p>
        </w:tc>
        <w:tc>
          <w:tcPr>
            <w:tcW w:w="3348"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 xml:space="preserve">                              86.496.01</w:t>
            </w:r>
          </w:p>
        </w:tc>
        <w:tc>
          <w:tcPr>
            <w:tcW w:w="2568" w:type="dxa"/>
            <w:tcBorders>
              <w:top w:val="single" w:sz="4" w:space="0" w:color="auto"/>
              <w:left w:val="single" w:sz="4" w:space="0" w:color="auto"/>
              <w:bottom w:val="single" w:sz="4" w:space="0" w:color="auto"/>
              <w:right w:val="single" w:sz="4" w:space="0" w:color="auto"/>
            </w:tcBorders>
            <w:hideMark/>
          </w:tcPr>
          <w:p w:rsidR="00A9207D" w:rsidRDefault="005A52A8">
            <w:pPr>
              <w:pStyle w:val="Tijeloteksta"/>
              <w:spacing w:line="276" w:lineRule="auto"/>
              <w:jc w:val="both"/>
              <w:rPr>
                <w:lang w:eastAsia="en-US"/>
              </w:rPr>
            </w:pPr>
            <w:r>
              <w:rPr>
                <w:lang w:eastAsia="en-US"/>
              </w:rPr>
              <w:t xml:space="preserve">                  5.896,78</w:t>
            </w:r>
          </w:p>
        </w:tc>
      </w:tr>
      <w:tr w:rsidR="00A9207D" w:rsidTr="00A9207D">
        <w:trPr>
          <w:trHeight w:val="100"/>
        </w:trPr>
        <w:tc>
          <w:tcPr>
            <w:tcW w:w="276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RH Ministarstvo financija</w:t>
            </w:r>
          </w:p>
          <w:p w:rsidR="00A9207D" w:rsidRDefault="00A9207D">
            <w:pPr>
              <w:pStyle w:val="Tijeloteksta"/>
              <w:spacing w:line="276" w:lineRule="auto"/>
              <w:jc w:val="both"/>
              <w:rPr>
                <w:lang w:eastAsia="en-US"/>
              </w:rPr>
            </w:pPr>
            <w:r>
              <w:rPr>
                <w:lang w:eastAsia="en-US"/>
              </w:rPr>
              <w:t>Porezna uprava</w:t>
            </w:r>
          </w:p>
        </w:tc>
        <w:tc>
          <w:tcPr>
            <w:tcW w:w="3348"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 xml:space="preserve">                            870.351,30</w:t>
            </w:r>
          </w:p>
        </w:tc>
        <w:tc>
          <w:tcPr>
            <w:tcW w:w="2568" w:type="dxa"/>
            <w:tcBorders>
              <w:top w:val="single" w:sz="4" w:space="0" w:color="auto"/>
              <w:left w:val="single" w:sz="4" w:space="0" w:color="auto"/>
              <w:bottom w:val="single" w:sz="4" w:space="0" w:color="auto"/>
              <w:right w:val="single" w:sz="4" w:space="0" w:color="auto"/>
            </w:tcBorders>
            <w:hideMark/>
          </w:tcPr>
          <w:p w:rsidR="00A9207D" w:rsidRDefault="005A52A8">
            <w:pPr>
              <w:pStyle w:val="Tijeloteksta"/>
              <w:spacing w:line="276" w:lineRule="auto"/>
              <w:jc w:val="both"/>
              <w:rPr>
                <w:lang w:eastAsia="en-US"/>
              </w:rPr>
            </w:pPr>
            <w:r>
              <w:rPr>
                <w:lang w:eastAsia="en-US"/>
              </w:rPr>
              <w:t xml:space="preserve">                59.335,34</w:t>
            </w:r>
          </w:p>
        </w:tc>
      </w:tr>
      <w:tr w:rsidR="00A9207D" w:rsidTr="00A9207D">
        <w:trPr>
          <w:trHeight w:val="100"/>
        </w:trPr>
        <w:tc>
          <w:tcPr>
            <w:tcW w:w="2760"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 xml:space="preserve">        Ukupno</w:t>
            </w:r>
          </w:p>
        </w:tc>
        <w:tc>
          <w:tcPr>
            <w:tcW w:w="3348" w:type="dxa"/>
            <w:tcBorders>
              <w:top w:val="single" w:sz="4" w:space="0" w:color="auto"/>
              <w:left w:val="single" w:sz="4" w:space="0" w:color="auto"/>
              <w:bottom w:val="single" w:sz="4" w:space="0" w:color="auto"/>
              <w:right w:val="single" w:sz="4" w:space="0" w:color="auto"/>
            </w:tcBorders>
            <w:hideMark/>
          </w:tcPr>
          <w:p w:rsidR="00A9207D" w:rsidRDefault="00A9207D">
            <w:pPr>
              <w:pStyle w:val="Tijeloteksta"/>
              <w:spacing w:line="276" w:lineRule="auto"/>
              <w:jc w:val="both"/>
              <w:rPr>
                <w:lang w:eastAsia="en-US"/>
              </w:rPr>
            </w:pPr>
            <w:r>
              <w:rPr>
                <w:lang w:eastAsia="en-US"/>
              </w:rPr>
              <w:t xml:space="preserve">                            964.347,31</w:t>
            </w:r>
          </w:p>
        </w:tc>
        <w:tc>
          <w:tcPr>
            <w:tcW w:w="2568" w:type="dxa"/>
            <w:tcBorders>
              <w:top w:val="single" w:sz="4" w:space="0" w:color="auto"/>
              <w:left w:val="single" w:sz="4" w:space="0" w:color="auto"/>
              <w:bottom w:val="single" w:sz="4" w:space="0" w:color="auto"/>
              <w:right w:val="single" w:sz="4" w:space="0" w:color="auto"/>
            </w:tcBorders>
            <w:hideMark/>
          </w:tcPr>
          <w:p w:rsidR="00A9207D" w:rsidRDefault="005A52A8">
            <w:pPr>
              <w:pStyle w:val="Tijeloteksta"/>
              <w:spacing w:line="276" w:lineRule="auto"/>
              <w:jc w:val="both"/>
              <w:rPr>
                <w:lang w:eastAsia="en-US"/>
              </w:rPr>
            </w:pPr>
            <w:r>
              <w:rPr>
                <w:lang w:eastAsia="en-US"/>
              </w:rPr>
              <w:t xml:space="preserve">                65.743,43</w:t>
            </w:r>
          </w:p>
        </w:tc>
      </w:tr>
    </w:tbl>
    <w:p w:rsidR="00A9207D" w:rsidRDefault="00A9207D" w:rsidP="00A9207D">
      <w:pPr>
        <w:pStyle w:val="Tijeloteksta"/>
        <w:ind w:left="360"/>
        <w:jc w:val="both"/>
      </w:pPr>
    </w:p>
    <w:p w:rsidR="00A9207D" w:rsidRDefault="00A9207D" w:rsidP="00A9207D">
      <w:pPr>
        <w:pStyle w:val="Tijeloteksta"/>
        <w:ind w:left="360"/>
        <w:jc w:val="both"/>
      </w:pPr>
      <w:r>
        <w:t xml:space="preserve"> </w:t>
      </w:r>
    </w:p>
    <w:p w:rsidR="00A9207D" w:rsidRDefault="00A9207D" w:rsidP="00A9207D">
      <w:pPr>
        <w:pStyle w:val="Tijeloteksta"/>
        <w:ind w:left="360"/>
        <w:jc w:val="both"/>
      </w:pPr>
      <w:r>
        <w:t xml:space="preserve">                                                                                        Stečajni upravitelj:</w:t>
      </w:r>
    </w:p>
    <w:p w:rsidR="00A9207D" w:rsidRDefault="00A9207D" w:rsidP="00A9207D">
      <w:pPr>
        <w:pStyle w:val="Tijeloteksta"/>
        <w:ind w:left="360"/>
        <w:jc w:val="both"/>
      </w:pPr>
    </w:p>
    <w:p w:rsidR="00A9207D" w:rsidRDefault="00A9207D" w:rsidP="00A9207D">
      <w:pPr>
        <w:pStyle w:val="Tijeloteksta"/>
        <w:ind w:left="360"/>
        <w:jc w:val="both"/>
      </w:pPr>
      <w:r>
        <w:t xml:space="preserve">                                                                                        Zdravko </w:t>
      </w:r>
      <w:proofErr w:type="spellStart"/>
      <w:r>
        <w:t>Mitak</w:t>
      </w:r>
      <w:proofErr w:type="spellEnd"/>
      <w:r>
        <w:t xml:space="preserve"> dipl. oec.</w:t>
      </w:r>
    </w:p>
    <w:p w:rsidR="00A9207D" w:rsidRDefault="00A9207D" w:rsidP="00A9207D">
      <w:pPr>
        <w:pStyle w:val="Tijeloteksta"/>
        <w:ind w:left="360"/>
        <w:jc w:val="both"/>
      </w:pPr>
    </w:p>
    <w:p w:rsidR="00A9207D" w:rsidRDefault="00A9207D" w:rsidP="00A9207D">
      <w:pPr>
        <w:pStyle w:val="Tijeloteksta"/>
        <w:ind w:left="360"/>
        <w:jc w:val="both"/>
      </w:pPr>
      <w:r>
        <w:t xml:space="preserve">                                                                                        </w:t>
      </w:r>
    </w:p>
    <w:p w:rsidR="00A9207D" w:rsidRDefault="00A9207D" w:rsidP="00A9207D"/>
    <w:p w:rsidR="00A9207D" w:rsidRDefault="00A9207D" w:rsidP="00A9207D"/>
    <w:p w:rsidR="00992B0E" w:rsidRDefault="00992B0E"/>
    <w:sectPr w:rsidR="00992B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985116"/>
    <w:multiLevelType w:val="singleLevel"/>
    <w:tmpl w:val="E86289A2"/>
    <w:lvl w:ilvl="0">
      <w:start w:val="1"/>
      <w:numFmt w:val="upperRoman"/>
      <w:pStyle w:val="Naslov2"/>
      <w:lvlText w:val="%1."/>
      <w:lvlJc w:val="left"/>
      <w:pPr>
        <w:tabs>
          <w:tab w:val="num" w:pos="567"/>
        </w:tabs>
        <w:ind w:left="567" w:hanging="567"/>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07D"/>
    <w:rsid w:val="0026252C"/>
    <w:rsid w:val="005A52A8"/>
    <w:rsid w:val="00992B0E"/>
    <w:rsid w:val="00A920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07D"/>
    <w:pPr>
      <w:spacing w:after="0" w:line="240" w:lineRule="auto"/>
    </w:pPr>
    <w:rPr>
      <w:rFonts w:ascii="Times New Roman" w:eastAsia="Times New Roman" w:hAnsi="Times New Roman" w:cs="Times New Roman"/>
      <w:sz w:val="20"/>
      <w:szCs w:val="20"/>
      <w:lang w:val="en-US" w:eastAsia="hr-HR"/>
    </w:rPr>
  </w:style>
  <w:style w:type="paragraph" w:styleId="Naslov2">
    <w:name w:val="heading 2"/>
    <w:basedOn w:val="Normal"/>
    <w:next w:val="Normal"/>
    <w:link w:val="Naslov2Char"/>
    <w:semiHidden/>
    <w:unhideWhenUsed/>
    <w:qFormat/>
    <w:rsid w:val="00A9207D"/>
    <w:pPr>
      <w:keepNext/>
      <w:numPr>
        <w:numId w:val="1"/>
      </w:numPr>
      <w:outlineLvl w:val="1"/>
    </w:pPr>
    <w:rPr>
      <w:sz w:val="24"/>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semiHidden/>
    <w:rsid w:val="00A9207D"/>
    <w:rPr>
      <w:rFonts w:ascii="Times New Roman" w:eastAsia="Times New Roman" w:hAnsi="Times New Roman" w:cs="Times New Roman"/>
      <w:sz w:val="24"/>
      <w:szCs w:val="20"/>
      <w:lang w:eastAsia="hr-HR"/>
    </w:rPr>
  </w:style>
  <w:style w:type="paragraph" w:styleId="Tijeloteksta">
    <w:name w:val="Body Text"/>
    <w:basedOn w:val="Normal"/>
    <w:link w:val="TijelotekstaChar"/>
    <w:unhideWhenUsed/>
    <w:rsid w:val="00A9207D"/>
    <w:rPr>
      <w:sz w:val="24"/>
      <w:lang w:val="hr-HR"/>
    </w:rPr>
  </w:style>
  <w:style w:type="character" w:customStyle="1" w:styleId="TijelotekstaChar">
    <w:name w:val="Tijelo teksta Char"/>
    <w:basedOn w:val="Zadanifontodlomka"/>
    <w:link w:val="Tijeloteksta"/>
    <w:rsid w:val="00A9207D"/>
    <w:rPr>
      <w:rFonts w:ascii="Times New Roman" w:eastAsia="Times New Roman" w:hAnsi="Times New Roman" w:cs="Times New Roman"/>
      <w:sz w:val="24"/>
      <w:szCs w:val="20"/>
      <w:lang w:eastAsia="hr-HR"/>
    </w:rPr>
  </w:style>
  <w:style w:type="table" w:styleId="Reetkatablice">
    <w:name w:val="Table Grid"/>
    <w:basedOn w:val="Obinatablica"/>
    <w:uiPriority w:val="59"/>
    <w:rsid w:val="00A92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07D"/>
    <w:pPr>
      <w:spacing w:after="0" w:line="240" w:lineRule="auto"/>
    </w:pPr>
    <w:rPr>
      <w:rFonts w:ascii="Times New Roman" w:eastAsia="Times New Roman" w:hAnsi="Times New Roman" w:cs="Times New Roman"/>
      <w:sz w:val="20"/>
      <w:szCs w:val="20"/>
      <w:lang w:val="en-US" w:eastAsia="hr-HR"/>
    </w:rPr>
  </w:style>
  <w:style w:type="paragraph" w:styleId="Naslov2">
    <w:name w:val="heading 2"/>
    <w:basedOn w:val="Normal"/>
    <w:next w:val="Normal"/>
    <w:link w:val="Naslov2Char"/>
    <w:semiHidden/>
    <w:unhideWhenUsed/>
    <w:qFormat/>
    <w:rsid w:val="00A9207D"/>
    <w:pPr>
      <w:keepNext/>
      <w:numPr>
        <w:numId w:val="1"/>
      </w:numPr>
      <w:outlineLvl w:val="1"/>
    </w:pPr>
    <w:rPr>
      <w:sz w:val="24"/>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semiHidden/>
    <w:rsid w:val="00A9207D"/>
    <w:rPr>
      <w:rFonts w:ascii="Times New Roman" w:eastAsia="Times New Roman" w:hAnsi="Times New Roman" w:cs="Times New Roman"/>
      <w:sz w:val="24"/>
      <w:szCs w:val="20"/>
      <w:lang w:eastAsia="hr-HR"/>
    </w:rPr>
  </w:style>
  <w:style w:type="paragraph" w:styleId="Tijeloteksta">
    <w:name w:val="Body Text"/>
    <w:basedOn w:val="Normal"/>
    <w:link w:val="TijelotekstaChar"/>
    <w:unhideWhenUsed/>
    <w:rsid w:val="00A9207D"/>
    <w:rPr>
      <w:sz w:val="24"/>
      <w:lang w:val="hr-HR"/>
    </w:rPr>
  </w:style>
  <w:style w:type="character" w:customStyle="1" w:styleId="TijelotekstaChar">
    <w:name w:val="Tijelo teksta Char"/>
    <w:basedOn w:val="Zadanifontodlomka"/>
    <w:link w:val="Tijeloteksta"/>
    <w:rsid w:val="00A9207D"/>
    <w:rPr>
      <w:rFonts w:ascii="Times New Roman" w:eastAsia="Times New Roman" w:hAnsi="Times New Roman" w:cs="Times New Roman"/>
      <w:sz w:val="24"/>
      <w:szCs w:val="20"/>
      <w:lang w:eastAsia="hr-HR"/>
    </w:rPr>
  </w:style>
  <w:style w:type="table" w:styleId="Reetkatablice">
    <w:name w:val="Table Grid"/>
    <w:basedOn w:val="Obinatablica"/>
    <w:uiPriority w:val="59"/>
    <w:rsid w:val="00A92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5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1781</Words>
  <Characters>10152</Characters>
  <Application>Microsoft Office Word</Application>
  <DocSecurity>4</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Ivana Stampf</cp:lastModifiedBy>
  <cp:revision>2</cp:revision>
  <dcterms:created xsi:type="dcterms:W3CDTF">2016-03-31T07:00:00Z</dcterms:created>
  <dcterms:modified xsi:type="dcterms:W3CDTF">2016-03-31T07:00:00Z</dcterms:modified>
</cp:coreProperties>
</file>